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343434"/>
                <w:sz w:val="22"/>
                <w:szCs w:val="22"/>
                <w:bdr w:val="nil"/>
                <w:rtl w:val="0"/>
              </w:rPr>
              <w:t>Many states have balanced budgets because laws or constitutional amendments preclude deficit spending.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Federal government has a provision in the Constitution that precludes deficit spending.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343434"/>
                <w:sz w:val="22"/>
                <w:szCs w:val="22"/>
                <w:bdr w:val="nil"/>
                <w:rtl w:val="0"/>
              </w:rPr>
              <w:t>Revenue-neutral tax laws reduce deficits.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343434"/>
                <w:sz w:val="22"/>
                <w:szCs w:val="22"/>
                <w:bdr w:val="nil"/>
                <w:rtl w:val="0"/>
              </w:rPr>
              <w:t>Longer class lives for depreciable property and the required use of the straight-line method of depreciation would likely dampen the tax incentive for purchasing capital assets.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343434"/>
                <w:sz w:val="22"/>
                <w:szCs w:val="22"/>
                <w:bdr w:val="nil"/>
                <w:rtl w:val="0"/>
              </w:rPr>
              <w:t>The Internal Revenue Code is a compilation of Federal tax legislation that appears in Title 26 of the United States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343434"/>
                <w:sz w:val="22"/>
                <w:szCs w:val="22"/>
                <w:bdr w:val="nil"/>
                <w:rtl w:val="0"/>
              </w:rPr>
              <w:t>The favorable treatment of research and development expenses is one means of controlling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The encouragement of private-sector pension plans can be justified under the encouragement of certain industries.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343434"/>
                <w:sz w:val="22"/>
                <w:szCs w:val="22"/>
                <w:bdr w:val="nil"/>
                <w:rtl w:val="0"/>
              </w:rPr>
              <w:t>One Internal Revenue Code section enables shareholders in a small business corporation to obtain an ordinary deduction for any loss recognized on a stock investment.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343434"/>
                <w:sz w:val="22"/>
                <w:szCs w:val="22"/>
                <w:bdr w:val="nil"/>
                <w:rtl w:val="0"/>
              </w:rPr>
              <w:t>One of the justifications for the enactment of the tax law governing corporate reorganizations was the economic benefit it would provide businesses (including making them more efficient).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343434"/>
                <w:sz w:val="22"/>
                <w:szCs w:val="22"/>
                <w:bdr w:val="nil"/>
                <w:rtl w:val="0"/>
              </w:rPr>
              <w:t>Although a corporation is subject to a Federal income tax, a partnership is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Federal income tax law allows a taxpayer to claim a deduction for state and local income taxes but limits all state taxes to a maximum of $10,000.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343434"/>
                <w:sz w:val="22"/>
                <w:szCs w:val="22"/>
                <w:bdr w:val="nil"/>
                <w:rtl w:val="0"/>
              </w:rPr>
              <w:t>Alabama and South Carolina are community property states.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A tax bill cannot originate in the Senate Finance Committee.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343434"/>
                <w:sz w:val="22"/>
                <w:szCs w:val="22"/>
                <w:bdr w:val="nil"/>
                <w:rtl w:val="0"/>
              </w:rPr>
              <w:t>Taxpayers may read </w:t>
            </w:r>
            <w:r>
              <w:rPr>
                <w:rStyle w:val="DefaultParagraphFont"/>
                <w:rFonts w:ascii="Times New Roman" w:eastAsia="Times New Roman" w:hAnsi="Times New Roman" w:cs="Times New Roman"/>
                <w:b w:val="0"/>
                <w:bCs w:val="0"/>
                <w:i w:val="0"/>
                <w:iCs w:val="0"/>
                <w:smallCaps w:val="0"/>
                <w:color w:val="343434"/>
                <w:sz w:val="22"/>
                <w:szCs w:val="22"/>
                <w:bdr w:val="nil"/>
                <w:rtl w:val="0"/>
              </w:rPr>
              <w:t>Committee</w:t>
            </w:r>
            <w:r>
              <w:rPr>
                <w:rStyle w:val="DefaultParagraphFont"/>
                <w:rFonts w:ascii="Times New Roman" w:eastAsia="Times New Roman" w:hAnsi="Times New Roman" w:cs="Times New Roman"/>
                <w:b w:val="0"/>
                <w:bCs w:val="0"/>
                <w:i w:val="0"/>
                <w:iCs w:val="0"/>
                <w:smallCaps w:val="0"/>
                <w:color w:val="343434"/>
                <w:sz w:val="22"/>
                <w:szCs w:val="22"/>
                <w:bdr w:val="nil"/>
                <w:rtl w:val="0"/>
              </w:rPr>
              <w:t> Reports to determine the intent of Congress.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These Internal Revenue Code citations are incorrect: § 212(1) and § 1221(1).</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 § 6 involves gross income and § 7 outlines itemized deductions.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Subchapter P refers to the subchapter in the Internal Revenue Code that deals with partners and partnerships.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are arranged in a different sequence than the Internal Revenue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Proposed Regulations have the force and effect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Temporary Regulations have the same authoritative value as Final Regulations for four years.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Proposed Regulations are published in the </w:t>
            </w:r>
            <w:r>
              <w:rPr>
                <w:rStyle w:val="DefaultParagraphFont"/>
                <w:rFonts w:ascii="Times New Roman" w:eastAsia="Times New Roman" w:hAnsi="Times New Roman" w:cs="Times New Roman"/>
                <w:b w:val="0"/>
                <w:bCs w:val="0"/>
                <w:i/>
                <w:iCs/>
                <w:smallCaps w:val="0"/>
                <w:color w:val="000000"/>
                <w:sz w:val="22"/>
                <w:szCs w:val="22"/>
                <w:bdr w:val="nil"/>
                <w:rtl w:val="0"/>
              </w:rPr>
              <w:t>Federal Register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are issued by the Treasury Department.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Rulings carry the same legal force and effect as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A Revenue Ruling is a legislative source of Federal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 deal with the internal management practices and procedures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Treasury Decisions are issued by the Treasury Department to promulgate new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letters usually involve proposed transactions.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Letter rulings are issued by the National Office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A taxpayer must pay any tax deficiency assessed by the IRS and sue for a refund to bring suit in the U.S. District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In a U.S. District Court, a jury can decide both questions of fact and questions of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color w:val="000000"/>
                <w:sz w:val="22"/>
                <w:szCs w:val="22"/>
                <w:bdr w:val="nil"/>
                <w:rtl w:val="0"/>
              </w:rPr>
              <w:t>U.S. 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istrict </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ourt must abide by the precedents set by the U.S. </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ourt of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ppeals of </w:t>
            </w:r>
            <w:r>
              <w:rPr>
                <w:rStyle w:val="DefaultParagraphFont"/>
                <w:rFonts w:ascii="Times New Roman" w:eastAsia="Times New Roman" w:hAnsi="Times New Roman" w:cs="Times New Roman"/>
                <w:b w:val="0"/>
                <w:bCs w:val="0"/>
                <w:i w:val="0"/>
                <w:iCs w:val="0"/>
                <w:smallCaps w:val="0"/>
                <w:color w:val="000000"/>
                <w:sz w:val="22"/>
                <w:szCs w:val="22"/>
                <w:bdr w:val="nil"/>
                <w:rtl w:val="0"/>
              </w:rPr>
              <w:t>its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jurisdiction.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Appeals from the U.S. Court of Federal Claims go to the U.S. Supreme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jury trial is available when a case is heard by a U.S. </w:t>
            </w:r>
            <w:r>
              <w:rPr>
                <w:rStyle w:val="DefaultParagraphFont"/>
                <w:rFonts w:ascii="Times New Roman" w:eastAsia="Times New Roman" w:hAnsi="Times New Roman" w:cs="Times New Roman"/>
                <w:b w:val="0"/>
                <w:bCs w:val="0"/>
                <w:i w:val="0"/>
                <w:iCs w:val="0"/>
                <w:smallCaps w:val="0"/>
                <w:color w:val="000000"/>
                <w:sz w:val="22"/>
                <w:szCs w:val="22"/>
                <w:bdr w:val="nil"/>
                <w:rtl w:val="0"/>
              </w:rPr>
              <w:t>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ourt of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p</w:t>
            </w:r>
            <w:r>
              <w:rPr>
                <w:rStyle w:val="DefaultParagraphFont"/>
                <w:rFonts w:ascii="Times New Roman" w:eastAsia="Times New Roman" w:hAnsi="Times New Roman" w:cs="Times New Roman"/>
                <w:b w:val="0"/>
                <w:bCs w:val="0"/>
                <w:i w:val="0"/>
                <w:iCs w:val="0"/>
                <w:smallCaps w:val="0"/>
                <w:color w:val="000000"/>
                <w:sz w:val="22"/>
                <w:szCs w:val="22"/>
                <w:bdr w:val="nil"/>
                <w:rtl w:val="0"/>
              </w:rPr>
              <w:t>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Only one judge hears a trial in a U.S. District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The </w:t>
            </w: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rule no longer applies to the U.S. Tax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is a direct conflict between an Internal Revenue Code section and a treaty provision, the most recent item takes precedence.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“Legislative" regulations carry more weight than “interpretative”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U.S. national debt is around $15.2 trillion.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A change in the individual tax rate has an almost immediate impact on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like-kind tax free exchange treatment is an example of the wherewithal to pay concept.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Indexation of various income tax components was eliminated by the Tax Cuts and Jobs Act of 2017.</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When there is a direct conflict between a tax treaty and the Internal Revenue Code, the Internal Revenue Code takes precedence.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The Standard Federal Tax Reporter is published by Research Institute of America.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annual gift tax exclusion in 2021 is $15,000.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 Section 318, which deals with the definition of related parties with respect to stock redemptions, includes brothers and sisters in the related-party definition.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Complete avoidance of a capital gain tax occurs when the owner of appreciated property transfers it by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The taxation part of the CPA exam (REG) is one-third essay.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provision could best be justified as a means of controlling the economy?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Write-off of research and development expenditures.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 179 immediate expensing of depreciable capital expenditures.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Amortization of pollution control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rehabilitation tax credit.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provision could best be justified as encouraging small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Ordinary loss allowed on § 1244 stock.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Percentage depletion.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Charitable contributions deduction.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Interest deduction on home mortgage.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provision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justified by social considerations?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Refundable earned income credit.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Adoption tax credit.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Like-kind exchange treatment.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Disallowance of illegal kickbacks.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community property state?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Arizona.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Texas.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Mexico.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Virginia.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Douglas and Sue, related parties, are landlord and tenant as to certain business property. If the IRS questions the amount of rent Sue is paying to Douglas, this is an illustration of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Arm’s length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Continuity of interest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Tax benefit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Substance over form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Federal tax legislation generally originates in what committee?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 Budget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Senate Finance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 Ways and Means Committee.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House Taxation Committee.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Regulations are first published in: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Federal Register.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Cumulative Bulletin.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Internal Revenue Bulletin.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I.R.S. Digest.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is considered to be a statutory (legislative) citation?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Ltr. Rul. 199952058.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 94-5, 1994-2 I.R.B. 39.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 § 1.1014-1(c)(1).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351.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echnical </w:t>
            </w: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dvice </w:t>
            </w:r>
            <w:r>
              <w:rPr>
                <w:rStyle w:val="DefaultParagraphFont"/>
                <w:rFonts w:ascii="Times New Roman" w:eastAsia="Times New Roman" w:hAnsi="Times New Roman" w:cs="Times New Roman"/>
                <w:b w:val="0"/>
                <w:bCs w:val="0"/>
                <w:i w:val="0"/>
                <w:iCs w:val="0"/>
                <w:smallCaps w:val="0"/>
                <w:color w:val="000000"/>
                <w:sz w:val="22"/>
                <w:szCs w:val="22"/>
                <w:bdr w:val="nil"/>
                <w:rtl w:val="0"/>
              </w:rPr>
              <w:t>M</w:t>
            </w:r>
            <w:r>
              <w:rPr>
                <w:rStyle w:val="DefaultParagraphFont"/>
                <w:rFonts w:ascii="Times New Roman" w:eastAsia="Times New Roman" w:hAnsi="Times New Roman" w:cs="Times New Roman"/>
                <w:b w:val="0"/>
                <w:bCs w:val="0"/>
                <w:i w:val="0"/>
                <w:iCs w:val="0"/>
                <w:smallCaps w:val="0"/>
                <w:color w:val="000000"/>
                <w:sz w:val="22"/>
                <w:szCs w:val="22"/>
                <w:bdr w:val="nil"/>
                <w:rtl w:val="0"/>
              </w:rPr>
              <w:t>emorandum is issued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Treasury Department.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National Office of the 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Office of Chief Council.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Area Director.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Procedures are published in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Congressional Record.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Federal Revenue Bulletin.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Internal Revenue Bulletin.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I.R.S. Digest.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Determine the incorrect citation: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TAM 20002704.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George W. Guill</w:t>
                  </w:r>
                  <w:r>
                    <w:rPr>
                      <w:rStyle w:val="DefaultParagraphFont"/>
                      <w:rFonts w:ascii="Times New Roman" w:eastAsia="Times New Roman" w:hAnsi="Times New Roman" w:cs="Times New Roman"/>
                      <w:b w:val="0"/>
                      <w:bCs w:val="0"/>
                      <w:i w:val="0"/>
                      <w:iCs w:val="0"/>
                      <w:smallCaps w:val="0"/>
                      <w:color w:val="000000"/>
                      <w:sz w:val="22"/>
                      <w:szCs w:val="22"/>
                      <w:bdr w:val="nil"/>
                      <w:rtl w:val="0"/>
                    </w:rPr>
                    <w:t>, 112 T.C.__, No. 22 (1999).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John H. Wong</w:t>
                  </w:r>
                  <w:r>
                    <w:rPr>
                      <w:rStyle w:val="DefaultParagraphFont"/>
                      <w:rFonts w:ascii="Times New Roman" w:eastAsia="Times New Roman" w:hAnsi="Times New Roman" w:cs="Times New Roman"/>
                      <w:b w:val="0"/>
                      <w:bCs w:val="0"/>
                      <w:i w:val="0"/>
                      <w:iCs w:val="0"/>
                      <w:smallCaps w:val="0"/>
                      <w:color w:val="000000"/>
                      <w:sz w:val="22"/>
                      <w:szCs w:val="22"/>
                      <w:bdr w:val="nil"/>
                      <w:rtl w:val="0"/>
                    </w:rPr>
                    <w:t>, T.C. Summary Opinion 2009-152.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 Rul. 98-32, 1998-25 I.R.B. 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Regarding Technical Advice Memoranda, which statement is </w:t>
            </w:r>
            <w:r>
              <w:rPr>
                <w:rStyle w:val="DefaultParagraphFont"/>
                <w:rFonts w:ascii="Times New Roman" w:eastAsia="Times New Roman" w:hAnsi="Times New Roman" w:cs="Times New Roman"/>
                <w:b w:val="0"/>
                <w:bCs w:val="0"/>
                <w:i/>
                <w:iCs/>
                <w:smallCaps w:val="0"/>
                <w:color w:val="000000"/>
                <w:sz w:val="22"/>
                <w:szCs w:val="22"/>
                <w:bdr w:val="nil"/>
                <w:rtl w:val="0"/>
              </w:rPr>
              <w:t>incorrect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by the National Office of IRS.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often deal with a completed transaction.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May be cited and used as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Issued with multi-digit file numbers.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of the following sources has the </w:t>
            </w:r>
            <w:r>
              <w:rPr>
                <w:rStyle w:val="DefaultParagraphFont"/>
                <w:rFonts w:ascii="Times New Roman" w:eastAsia="Times New Roman" w:hAnsi="Times New Roman" w:cs="Times New Roman"/>
                <w:b w:val="0"/>
                <w:bCs w:val="0"/>
                <w:i/>
                <w:iCs/>
                <w:smallCaps w:val="0"/>
                <w:color w:val="000000"/>
                <w:sz w:val="22"/>
                <w:szCs w:val="22"/>
                <w:bdr w:val="nil"/>
                <w:rtl w:val="0"/>
              </w:rPr>
              <w:t>highest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tax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Treasury Regulation.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Revenue Procedure.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Internal Revenue Code.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Temporary 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administrative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Rev. Rul. 2010-19.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Joint Conference Committee Report.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Section 12(a) of the </w:t>
                  </w:r>
                  <w:r>
                    <w:rPr>
                      <w:rStyle w:val="DefaultParagraphFont"/>
                      <w:rFonts w:ascii="Times New Roman" w:eastAsia="Times New Roman" w:hAnsi="Times New Roman" w:cs="Times New Roman"/>
                      <w:b w:val="0"/>
                      <w:bCs w:val="0"/>
                      <w:i/>
                      <w:iCs/>
                      <w:smallCaps w:val="0"/>
                      <w:color w:val="000000"/>
                      <w:sz w:val="22"/>
                      <w:szCs w:val="22"/>
                      <w:bdr w:val="nil"/>
                      <w:rtl w:val="0"/>
                    </w:rPr>
                    <w:t>Internal Revenue Code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A decision in which of the following courts carries the lowest tax authority?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Appeals for the Federal Circuit.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Appeals for the Second Circuit.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Supreme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w:t>
            </w:r>
            <w:r>
              <w:rPr>
                <w:rStyle w:val="DefaultParagraphFont"/>
                <w:rFonts w:ascii="Times New Roman" w:eastAsia="Times New Roman" w:hAnsi="Times New Roman" w:cs="Times New Roman"/>
                <w:b w:val="0"/>
                <w:bCs w:val="0"/>
                <w:i/>
                <w:iCs/>
                <w:smallCaps w:val="0"/>
                <w:color w:val="000000"/>
                <w:sz w:val="22"/>
                <w:szCs w:val="22"/>
                <w:bdr w:val="nil"/>
                <w:rtl w:val="0"/>
              </w:rPr>
              <w:t>Forty-Four Cigar Co.,</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 B.T.A. 1156, the 1156 stands for: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volume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year of the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paragraph number.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page number.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Which statement is </w:t>
            </w:r>
            <w:r>
              <w:rPr>
                <w:rStyle w:val="DefaultParagraphFont"/>
                <w:rFonts w:ascii="Times New Roman" w:eastAsia="Times New Roman" w:hAnsi="Times New Roman" w:cs="Times New Roman"/>
                <w:b w:val="0"/>
                <w:bCs w:val="0"/>
                <w:i/>
                <w:iCs/>
                <w:smallCaps w:val="0"/>
                <w:color w:val="000000"/>
                <w:sz w:val="22"/>
                <w:szCs w:val="22"/>
                <w:bdr w:val="nil"/>
                <w:rtl w:val="0"/>
              </w:rPr>
              <w:t>not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true about this citation: </w:t>
            </w:r>
            <w:r>
              <w:rPr>
                <w:rStyle w:val="DefaultParagraphFont"/>
                <w:rFonts w:ascii="Times New Roman" w:eastAsia="Times New Roman" w:hAnsi="Times New Roman" w:cs="Times New Roman"/>
                <w:b w:val="0"/>
                <w:bCs w:val="0"/>
                <w:i/>
                <w:iCs/>
                <w:smallCaps w:val="0"/>
                <w:color w:val="000000"/>
                <w:sz w:val="22"/>
                <w:szCs w:val="22"/>
                <w:bdr w:val="nil"/>
                <w:rtl w:val="0"/>
              </w:rPr>
              <w:t>Bonkowski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29 TCM 1645 (1970), </w:t>
            </w:r>
            <w:r>
              <w:rPr>
                <w:rStyle w:val="DefaultParagraphFont"/>
                <w:rFonts w:ascii="Times New Roman" w:eastAsia="Times New Roman" w:hAnsi="Times New Roman" w:cs="Times New Roman"/>
                <w:b w:val="0"/>
                <w:bCs w:val="0"/>
                <w:i/>
                <w:iCs/>
                <w:smallCaps w:val="0"/>
                <w:color w:val="000000"/>
                <w:sz w:val="22"/>
                <w:szCs w:val="22"/>
                <w:bdr w:val="nil"/>
                <w:rtl w:val="0"/>
              </w:rPr>
              <w:t>aff’d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458 F.2d 709 (CA-7, 1972), </w:t>
            </w:r>
            <w:r>
              <w:rPr>
                <w:rStyle w:val="DefaultParagraphFont"/>
                <w:rFonts w:ascii="Times New Roman" w:eastAsia="Times New Roman" w:hAnsi="Times New Roman" w:cs="Times New Roman"/>
                <w:b w:val="0"/>
                <w:bCs w:val="0"/>
                <w:i/>
                <w:iCs/>
                <w:smallCaps w:val="0"/>
                <w:color w:val="000000"/>
                <w:sz w:val="22"/>
                <w:szCs w:val="22"/>
                <w:bdr w:val="nil"/>
                <w:rtl w:val="0"/>
              </w:rPr>
              <w:t>cert. den.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Supreme Court decided not to agree or disagree with the Seventh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Seventh Court of Appeals disagreed with the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Court decision starts on page 1645.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Seventh Court of Appeals decision appears in Vol. 458.</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these notations would appear after a U.S. Tax Court citation if the IRS disagrees with the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Rev’d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935 F.2d 203 (1991).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Nonacq</w:t>
                  </w:r>
                  <w:r>
                    <w:rPr>
                      <w:rStyle w:val="DefaultParagraphFont"/>
                      <w:rFonts w:ascii="Times New Roman" w:eastAsia="Times New Roman" w:hAnsi="Times New Roman" w:cs="Times New Roman"/>
                      <w:b w:val="0"/>
                      <w:bCs w:val="0"/>
                      <w:i w:val="0"/>
                      <w:iCs w:val="0"/>
                      <w:smallCaps w:val="0"/>
                      <w:color w:val="000000"/>
                      <w:sz w:val="22"/>
                      <w:szCs w:val="22"/>
                      <w:bdr w:val="nil"/>
                      <w:rtl w:val="0"/>
                    </w:rPr>
                    <w:t>. 1979-1 C.B. 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Cert. den</w:t>
                  </w:r>
                  <w:r>
                    <w:rPr>
                      <w:rStyle w:val="DefaultParagraphFont"/>
                      <w:rFonts w:ascii="Times New Roman" w:eastAsia="Times New Roman" w:hAnsi="Times New Roman" w:cs="Times New Roman"/>
                      <w:b w:val="0"/>
                      <w:bCs w:val="0"/>
                      <w:i w:val="0"/>
                      <w:iCs w:val="0"/>
                      <w:smallCaps w:val="0"/>
                      <w:color w:val="000000"/>
                      <w:sz w:val="22"/>
                      <w:szCs w:val="22"/>
                      <w:bdr w:val="nil"/>
                      <w:rtl w:val="0"/>
                    </w:rPr>
                    <w:t>. 361 U.S. 875 (1959).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Acq.</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1990-1 C.B. 2.</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refers to a trial court rather than an appellate court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Forgeus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 B.T.A. 291 (1927).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Farris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222 F.2d 320 (CA-10, 1955).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Danville Plywood Corp.,</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899 F.2d 3 (Fed Cir. 1990).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Boehm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326 U.S. 287 (1945).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refers to a Third Circuit Court of Appeals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T.C. 1018.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TCM 205 (1951).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354 F.Supp. 1003 (D. Ct. Ga, 1972).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914 F.2d 396 (CA-3, 1990).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state is located in the jurisdiction of the Fifth Circuit Court of Appeals?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Louisiana.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California.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York.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South Carolina.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Interpret the following citation: 64-1 USTC ¶ 9618, </w:t>
            </w:r>
            <w:r>
              <w:rPr>
                <w:rStyle w:val="DefaultParagraphFont"/>
                <w:rFonts w:ascii="Times New Roman" w:eastAsia="Times New Roman" w:hAnsi="Times New Roman" w:cs="Times New Roman"/>
                <w:b w:val="0"/>
                <w:bCs w:val="0"/>
                <w:i/>
                <w:iCs/>
                <w:smallCaps w:val="0"/>
                <w:color w:val="000000"/>
                <w:sz w:val="22"/>
                <w:szCs w:val="22"/>
                <w:bdr w:val="nil"/>
                <w:rtl w:val="0"/>
              </w:rPr>
              <w:t>aff’d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344 F. 2d 966.</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Tax Court Small Cases Division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Tax Court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District Court decision that was affirmed on appeal.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Court of Appeals decision that was affirmed on appeal.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refers to a Second Circuit Court of Appeals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T.C. 1018.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159 F. 2d 848 (CA-2, 1947).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354 F. Supp. 1003 (D. Ct. Ga, 1972).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914 F. 2d 396 (CA-3, 1990).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citation refers to a U.S. Court of Federal Claims decision?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Apollo Computer, Inc. v. U.S.,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95-1 USTC ¶ 50,015 (Fed. Cl., 1994).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Westreco, Inc.,</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T.C. Memo. 1992-561 (1992).</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Bausch &amp; Lomb, Inc.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933 F. 2d 1084 (CA-2, 1991).</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Portland Manufacturing Co.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35 AFTR 2d 1439 (CA-9, 1975).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If these citations appeared after a trial court decision, which one means that the decision was viewed favorably?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Aff’d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633 F. 2d 512 (CA-7, 1980).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Rem’d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399 F. 2d 800 (CA-5, 1968).</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Rev’d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914 F. 2d 396 (CA-3, 1990).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Rev’d</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935 F. 2d 203 (CA-5, 1991).</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trial court normally has 16 judges?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Supreme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Appeals.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trial court’s jurisdiction depends on the geographical location of the taxpayer?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Cases Division of the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trial court decision is generally less authoritative?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Small Cases Division of the Tax Court.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A Memorandum decision of the U.S. Tax Court could be cited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T.C. Memo. 1990-650.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68-1 USTC ¶ 9200.</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AFTR 2d 456.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court decision is generally more authoritative?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Tax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Court of Federal Claims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District Court decision.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U.S. Court of Appeals decision.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statements about an acquiescence is correct?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acquiescence is issued in the </w:t>
                  </w:r>
                  <w:r>
                    <w:rPr>
                      <w:rStyle w:val="DefaultParagraphFont"/>
                      <w:rFonts w:ascii="Times New Roman" w:eastAsia="Times New Roman" w:hAnsi="Times New Roman" w:cs="Times New Roman"/>
                      <w:b w:val="0"/>
                      <w:bCs w:val="0"/>
                      <w:i/>
                      <w:iCs/>
                      <w:smallCaps w:val="0"/>
                      <w:color w:val="000000"/>
                      <w:sz w:val="22"/>
                      <w:szCs w:val="22"/>
                      <w:bdr w:val="nil"/>
                      <w:rtl w:val="0"/>
                    </w:rPr>
                    <w:t>Federal Register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Acquiescences are published only for certain regular decisions of the 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An acquiescence is published in the </w:t>
                  </w:r>
                  <w:r>
                    <w:rPr>
                      <w:rStyle w:val="DefaultParagraphFont"/>
                      <w:rFonts w:ascii="Times New Roman" w:eastAsia="Times New Roman" w:hAnsi="Times New Roman" w:cs="Times New Roman"/>
                      <w:b w:val="0"/>
                      <w:bCs w:val="0"/>
                      <w:i/>
                      <w:iCs/>
                      <w:smallCaps w:val="0"/>
                      <w:color w:val="000000"/>
                      <w:sz w:val="22"/>
                      <w:szCs w:val="22"/>
                      <w:bdr w:val="nil"/>
                      <w:rtl w:val="0"/>
                    </w:rPr>
                    <w:t>Internal Revenue Bulletin.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IRS does not issue acquiescences to adverse decisions that are not appealed.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is a primary source of tax law?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iCs/>
                      <w:smallCaps w:val="0"/>
                      <w:color w:val="000000"/>
                      <w:sz w:val="22"/>
                      <w:szCs w:val="22"/>
                      <w:bdr w:val="nil"/>
                      <w:rtl w:val="0"/>
                    </w:rPr>
                    <w:t>J.W. Yarbo v. Comm.</w:t>
                  </w:r>
                  <w:r>
                    <w:rPr>
                      <w:rStyle w:val="DefaultParagraphFont"/>
                      <w:rFonts w:ascii="Times New Roman" w:eastAsia="Times New Roman" w:hAnsi="Times New Roman" w:cs="Times New Roman"/>
                      <w:b w:val="0"/>
                      <w:bCs w:val="0"/>
                      <w:i w:val="0"/>
                      <w:iCs w:val="0"/>
                      <w:smallCaps w:val="0"/>
                      <w:color w:val="000000"/>
                      <w:sz w:val="22"/>
                      <w:szCs w:val="22"/>
                      <w:bdr w:val="nil"/>
                      <w:rtl w:val="0"/>
                    </w:rPr>
                    <w:t>, 737 F. 2d 479 (CA-5, 1984).</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Article by a Federal judge in </w:t>
                  </w:r>
                  <w:r>
                    <w:rPr>
                      <w:rStyle w:val="DefaultParagraphFont"/>
                      <w:rFonts w:ascii="Times New Roman" w:eastAsia="Times New Roman" w:hAnsi="Times New Roman" w:cs="Times New Roman"/>
                      <w:b w:val="0"/>
                      <w:bCs w:val="0"/>
                      <w:i/>
                      <w:iCs/>
                      <w:smallCaps w:val="0"/>
                      <w:color w:val="000000"/>
                      <w:sz w:val="22"/>
                      <w:szCs w:val="22"/>
                      <w:bdr w:val="nil"/>
                      <w:rtl w:val="0"/>
                    </w:rPr>
                    <w:t>Harvard Law Review</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 Determination letter.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IRS Letter ruling.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A landlord leases property upon which the tenant makes improvements. The improvements are significant and are not made in lieu of rent. At the end of the lease, the value of the improvements is not income to the landlord. This rule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wherewithal to pay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tax benefit rule.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arm’s length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clear reflection of income result.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The Internal Revenue Code was codified for the first time in what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9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1913.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1923.</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1939.</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1954.</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statement is not true with respect to Temporary Regulations?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may not be cited as precedent.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are issued with Proposed Regulations.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automatically expire within three years after the date of issuance.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can be found in the Federal Register.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administrative release deals with a proposed transaction rather than a completed transaction?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Letter Ruling.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Technical Advice Memorandum.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Determination Letter.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Field Service Advice.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If a taxpayer decides not to pay a tax deficiency, they must go to which court?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Appropriate U.S. Circuit Court of Appeals.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District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Tax Court.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 Court of Federal Claims.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Both economic and 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Various tax credits, deductions, and exclusions that are designed to encourage taxpayers to obtain additional education.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Disallowance of any deduction for expenditures deemed to be contrary to public policy (e.g., fines, penalties, illegal kickbacks, bribes to government officials).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Favorable tax treatment for accident and health plans provided for employees and financed by employers.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deduction for state and local income taxes paid.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Social considerations can be used to justify: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federal income tax deduction for state and local sales tax.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excess capital losses to be carried over to other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Allowing accelerated amortization for the cost of installing pollution control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Allowance of a credit for child care expenses.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Allowing a net operating loss (NOL) carryforward can be justified: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1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mitigating the effect of the annual accounting period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economic considerations.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 promoting administrative feasibility.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Based on the wherewithal to pay concept.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if any, of the following provisions of the tax law cannot be justified as promoting administrative feasibility (simplifying the task of the IRS)?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9"/>
              <w:gridCol w:w="8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Penalties are imposed for failure to file a return or pay a tax on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Prepaid income is taxed in the year received, not in the year earned.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Annual adjustments for indexation increases the amount of the standard deduction allowed.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deduction is allowed for charitable contributions.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impact has the community property system had on our Federal tax laws?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position of the residents of community property states was so advantageous that many common law states actually adopted community property systems. The political pressure placed on Congress to correct the disparity in tax treatment was considerable. To a large extent, this correction was accomplished in the Revenue Act of 1948, which extended many of the community property tax advantages to residents of common law jurisdictions. Thus, common law states avoided the trauma of discarding their time-honored legal system familiar to everyone. The impact of community property law on the Federal estate and gift taxes is further explored in Chapters 17 and 18.</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How does a treaty with a foreign country impact a section in the Internal Revenue Code?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United States enters into tax treaties (sometimes called tax conventions) with foreign countries to render mutual assistance in tax enforcement and to avoid double taxation. Neither a tax law nor a tax treaty takes precedence. When there is a conflict, the most recently enacted item will take precedence.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Explain the </w:t>
            </w: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doctrine.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Because the Tax Court is a national court, it decides cases from all parts of the country. For many years, the Tax Court followed a policy of deciding cases based on what it thought the result should be, even though its decision might be appealed to a U.S. Circuit Court of Appeals that had previously decided a similar case differently. A number of years ago, this policy was changed in the </w:t>
                  </w: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decision. After that change, the Tax Court will decide a case as it feels the law should be applied </w:t>
                  </w:r>
                  <w:r>
                    <w:rPr>
                      <w:rStyle w:val="DefaultParagraphFont"/>
                      <w:rFonts w:ascii="Times New Roman" w:eastAsia="Times New Roman" w:hAnsi="Times New Roman" w:cs="Times New Roman"/>
                      <w:b w:val="0"/>
                      <w:bCs w:val="0"/>
                      <w:i/>
                      <w:iCs/>
                      <w:smallCaps w:val="0"/>
                      <w:color w:val="000000"/>
                      <w:sz w:val="22"/>
                      <w:szCs w:val="22"/>
                      <w:bdr w:val="nil"/>
                      <w:rtl w:val="0"/>
                    </w:rPr>
                    <w:t>only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if the Circuit Court of Appeals of the appropriate jurisdiction has not yet passed on the issue or has previously decided a similar case in accord with the Tax Court’s decision. If the Circuit Court of Appeals of the  appropriate jurisdiction has previously held otherwise, the Tax Court will conform under the </w:t>
                  </w:r>
                  <w:r>
                    <w:rPr>
                      <w:rStyle w:val="DefaultParagraphFont"/>
                      <w:rFonts w:ascii="Times New Roman" w:eastAsia="Times New Roman" w:hAnsi="Times New Roman" w:cs="Times New Roman"/>
                      <w:b w:val="0"/>
                      <w:bCs w:val="0"/>
                      <w:i/>
                      <w:iCs/>
                      <w:smallCaps w:val="0"/>
                      <w:color w:val="000000"/>
                      <w:sz w:val="22"/>
                      <w:szCs w:val="22"/>
                      <w:bdr w:val="nil"/>
                      <w:rtl w:val="0"/>
                    </w:rPr>
                    <w:t>Golsen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rule even though it disagrees with the holding.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value of Actions on Decisions to a tax researcher?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Actions on Decisions tell a taxpayer the IRS’s reaction to certain court decisions. The IRS follows a practice of either acquiescing (agreeing) or nonacquiescing (not agreeing) with court decisions where guidance may be helpful. This practice does not mean that a particular decision has no value if the IRS has nonacquiesced in the result. It does, however, indicate that the IRS will continue to litigate the issue involved.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What value is a tax citator to a tax researcher?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manual citators or a computer citator search is invaluable to tax research. A citator provides the history of a case including the authority relied on (e.g., other judicial decisions) in reaching the result. Reviewing the references listed in the citator discloses whether the decision was appealed and, if so, with what result (e.g., affirmed, reversed, and remanded). It also reveals other cases with the same or similar issues and how they were decided. Thus, a citator reflects on the validity of a case and may lead to other relevant judicial material.</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 01 Understanding and Working with the Federal Tax Law</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 01 Understanding and Working with the Federal Tax Law</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