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2021,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2020 Federal income tax return on March 4, 2021. The return reflects an overpayment of $6,000, and the taxpayer requests a refund of this amount. The refund is paid on May 16, 2021.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2021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2021.</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2021).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2021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2021,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1990, Martina leased real estate to Drab Corporation for 20 years. Drab Corporation made significant capital improvements to the property. In 2009, Drab decided not to renew the lease and vacated the property. At that time, the value of the improvements was $800,000. Martina sells the real estate in 2021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2021).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2019, Deborah became 65 years old. In 2020 she added a swimming pool and in 2021 she converted the residence to rental property and moved into an assisted living facility. Since 2018,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2019 when Deborah reached age 65. The increases probably occurred in 2020 when she added the pool and in 2021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wife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2021,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2021. In reviewing her 2020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2020 correcting the error. If she refuses, you should assess the gravity of the error and how it impacts on your ability to file an accurate return for 2021.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that she will be audited regardless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An Introduction to Taxation and Understanding the Federal Tax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