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Medicare component of the FICA tax (1.45% on wages) is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since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excise tax on gasoline is an example of a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Federal corporate income tax is less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the individual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fixture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personalty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realty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excise tax is often used to try to influence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gas-guzzler tax applies only to automobiles manufactured overseas and imported into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made by mail order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On transfers by death, the Federal government relies on an estate tax, while states may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a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Clint’s will, all of his property passes to either the Lutheran Church or to his wife. No Federal estate tax will be due on Clint’s death in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exclusion, currently $15,000,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2020,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imposed on </w:t>
            </w:r>
            <w:r>
              <w:rPr>
                <w:rStyle w:val="DefaultParagraphFont"/>
                <w:rFonts w:ascii="Times New Roman" w:eastAsia="Times New Roman" w:hAnsi="Times New Roman" w:cs="Times New Roman"/>
                <w:b w:val="0"/>
                <w:bCs w:val="0"/>
                <w:i/>
                <w:iCs/>
                <w:smallCaps w:val="0"/>
                <w:color w:val="000000"/>
                <w:sz w:val="22"/>
                <w:szCs w:val="22"/>
                <w:bdr w:val="nil"/>
                <w:rtl w:val="0"/>
              </w:rPr>
              <w:t>nonresident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taxpayers who earn income within the state on an itinerant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For state income tax purposes, a majority of states allow a deduction for Federal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use their state income tax return as a means of collecting unpaid sales and use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No state may offer an income tax amnesty program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For Federal income tax purposes, there never has been a general amnesty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 amnesty programs, all delinquent and unpaid income taxes are forgiven.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state decouples from a Federal tax provision, it means that this provision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for state income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parent employs his twin daughters, age 17, in his sole proprietorship. The daughters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advantage of a flat tax type of income tax is its simplicity.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value added tax (VAT) </w:t>
            </w:r>
            <w:r>
              <w:rPr>
                <w:rStyle w:val="DefaultParagraphFont"/>
                <w:rFonts w:ascii="Times New Roman" w:eastAsia="Times New Roman" w:hAnsi="Times New Roman" w:cs="Times New Roman"/>
                <w:b w:val="0"/>
                <w:bCs w:val="0"/>
                <w:i/>
                <w:iCs/>
                <w:smallCaps w:val="0"/>
                <w:color w:val="000000"/>
                <w:sz w:val="22"/>
                <w:szCs w:val="22"/>
                <w:bdr w:val="nil"/>
                <w:rtl w:val="0"/>
              </w:rPr>
              <w:t>has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had wide acceptance in the international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objective of </w:t>
            </w:r>
            <w:r>
              <w:rPr>
                <w:rStyle w:val="DefaultParagraphFont"/>
                <w:rFonts w:ascii="Times New Roman" w:eastAsia="Times New Roman" w:hAnsi="Times New Roman" w:cs="Times New Roman"/>
                <w:b w:val="0"/>
                <w:bCs w:val="0"/>
                <w:i/>
                <w:iCs/>
                <w:smallCaps w:val="0"/>
                <w:color w:val="000000"/>
                <w:sz w:val="22"/>
                <w:szCs w:val="22"/>
                <w:bdr w:val="nil"/>
                <w:rtl w:val="0"/>
              </w:rPr>
              <w:t>pay-as-you-go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paygo</w:t>
            </w:r>
            <w:r>
              <w:rPr>
                <w:rStyle w:val="DefaultParagraphFont"/>
                <w:rFonts w:ascii="Times New Roman" w:eastAsia="Times New Roman" w:hAnsi="Times New Roman" w:cs="Times New Roman"/>
                <w:b w:val="0"/>
                <w:bCs w:val="0"/>
                <w:i w:val="0"/>
                <w:iCs w:val="0"/>
                <w:smallCaps w:val="0"/>
                <w:color w:val="000000"/>
                <w:sz w:val="22"/>
                <w:szCs w:val="22"/>
                <w:bdr w:val="nil"/>
                <w:rtl w:val="0"/>
              </w:rPr>
              <w:t>) is to improve administrative feasibility.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enacts a tax cut that is phased in over a period of years, revenue neutrality is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 cut enacted by Congress that contains a </w:t>
            </w:r>
            <w:r>
              <w:rPr>
                <w:rStyle w:val="DefaultParagraphFont"/>
                <w:rFonts w:ascii="Times New Roman" w:eastAsia="Times New Roman" w:hAnsi="Times New Roman" w:cs="Times New Roman"/>
                <w:b w:val="0"/>
                <w:bCs w:val="0"/>
                <w:i/>
                <w:iCs/>
                <w:smallCaps w:val="0"/>
                <w:color w:val="000000"/>
                <w:sz w:val="22"/>
                <w:szCs w:val="22"/>
                <w:bdr w:val="nil"/>
                <w:rtl w:val="0"/>
              </w:rPr>
              <w:t>sunset provision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make the tax cut temporary.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provides various tax credits, deductions, and exclusions that are designed to encourage taxpayers to obtain additional education. These provisions can be justified on both economic and equity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provisions encourage the creation of certain types of retirement plans. Such provisions can be justified on both economic and social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To lessen or eliminate the effect of multiple taxation, a taxpayer who is subject to both foreign and U.S. income taxes on the same income is allowed either a deduction or a credit for the foreign tax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To mitigate the effect of the annual accounting period concept, the tax law permits the carryforward of excess charitable contributions of a particular year </w:t>
            </w:r>
            <w:r>
              <w:rPr>
                <w:rStyle w:val="DefaultParagraphFont"/>
                <w:rFonts w:ascii="Times New Roman" w:eastAsia="Times New Roman" w:hAnsi="Times New Roman" w:cs="Times New Roman"/>
                <w:b w:val="0"/>
                <w:bCs w:val="0"/>
                <w:i w:val="0"/>
                <w:iCs w:val="0"/>
                <w:smallCaps w:val="0"/>
                <w:color w:val="000000"/>
                <w:sz w:val="22"/>
                <w:szCs w:val="22"/>
                <w:bdr w:val="nil"/>
                <w:rtl w:val="0"/>
              </w:rPr>
              <w:t>to other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Jason’s business warehouse is destroyed by fire. Because the insurance proceeds exceed the basis of the property, a gain results. If Jason shortly reinvests the proceeds in a new warehouse, no gain is recognized due to the application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consistent with the wherewithal to pay concept, the tax law requires a seller to recognize a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Stealth taxes have the effect of generating additional taxes from all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cases of doubt, courts have held that tax relief provisions should be broadly construed in favor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On occasion, Congress has to enact legislation that clarifies the tax law in order to change a result reached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statements best describes the history of the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exist during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corporations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Federal income tax on individuals and on corporations was held by the U.S. Supreme Court to be contrary to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taxes are </w:t>
            </w:r>
            <w:r>
              <w:rPr>
                <w:rStyle w:val="DefaultParagraphFont"/>
                <w:rFonts w:ascii="Times New Roman" w:eastAsia="Times New Roman" w:hAnsi="Times New Roman" w:cs="Times New Roman"/>
                <w:b w:val="0"/>
                <w:bCs w:val="0"/>
                <w:i/>
                <w:iCs/>
                <w:smallCaps w:val="0"/>
                <w:color w:val="000000"/>
                <w:sz w:val="22"/>
                <w:szCs w:val="22"/>
                <w:bdr w:val="nil"/>
                <w:rtl w:val="0"/>
              </w:rPr>
              <w:t>regressive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estate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gift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resident dies and leaves his farm to his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property owner issues a conservation easement as to some of her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issued 10 years ago has expired.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 granted to an out-of-state business that is searching for a new factory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abandoned church is converted to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school is razed and turned into a city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university sells a dormitory that will be converted for use as an apartment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compliance is greater for personal use property than for business use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automobiles sometimes considers the age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impose a tax on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intangibles generates considerable revenue since it is difficult for taxpayers to avoid.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eastAsia="Times New Roman" w:hAnsi="Times New Roman" w:cs="Times New Roman"/>
                <w:b w:val="0"/>
                <w:bCs w:val="0"/>
                <w:i/>
                <w:iCs/>
                <w:smallCaps w:val="0"/>
                <w:color w:val="000000"/>
                <w:sz w:val="22"/>
                <w:szCs w:val="22"/>
                <w:bdr w:val="nil"/>
                <w:rtl w:val="0"/>
              </w:rPr>
              <w:t>no longer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air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wagering.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w:t>
            </w:r>
            <w:r>
              <w:rPr>
                <w:rStyle w:val="DefaultParagraphFont"/>
                <w:rFonts w:ascii="Times New Roman" w:eastAsia="Times New Roman" w:hAnsi="Times New Roman" w:cs="Times New Roman"/>
                <w:b w:val="0"/>
                <w:bCs w:val="0"/>
                <w:i/>
                <w:iCs/>
                <w:smallCaps w:val="0"/>
                <w:color w:val="000000"/>
                <w:sz w:val="22"/>
                <w:szCs w:val="22"/>
                <w:bdr w:val="nil"/>
                <w:rtl w:val="0"/>
              </w:rPr>
              <w:t>not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rental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guzzler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 majority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states but not the Federal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Burt and Lisa are married and live in a common law state. They want to make gifts to their four children in 2020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higher unified transfer tax credit available under the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future decline in value of the property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per donee annual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shift income to higher bracket donees.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piggyback to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apply to visiting nonresidents.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decouple from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occasional amnesty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 income taxes </w:t>
            </w:r>
            <w:r>
              <w:rPr>
                <w:rStyle w:val="DefaultParagraphFont"/>
                <w:rFonts w:ascii="Times New Roman" w:eastAsia="Times New Roman" w:hAnsi="Times New Roman" w:cs="Times New Roman"/>
                <w:b w:val="0"/>
                <w:bCs w:val="0"/>
                <w:i/>
                <w:iCs/>
                <w:smallCaps w:val="0"/>
                <w:color w:val="000000"/>
                <w:sz w:val="22"/>
                <w:szCs w:val="22"/>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date for filing as the Federal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provision for withholding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Federal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only to individuals but not to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FICA tax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apply when one spouse works for the other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only on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modest source of income in the event of loss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FUTA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 both employer and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solely on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requires following guidelines issued by both state and Federal regulatory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is applicable to spouses of employees but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any children under age 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United States (either Federal, state, or local) </w:t>
            </w:r>
            <w:r>
              <w:rPr>
                <w:rStyle w:val="DefaultParagraphFont"/>
                <w:rFonts w:ascii="Times New Roman" w:eastAsia="Times New Roman" w:hAnsi="Times New Roman" w:cs="Times New Roman"/>
                <w:b w:val="0"/>
                <w:bCs w:val="0"/>
                <w:i/>
                <w:iCs/>
                <w:smallCaps w:val="0"/>
                <w:color w:val="000000"/>
                <w:sz w:val="22"/>
                <w:szCs w:val="22"/>
                <w:bdr w:val="nil"/>
                <w:rtl w:val="0"/>
              </w:rPr>
              <w:t>does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Severance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state and local income taxes paid.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tax credit for certain solar energy property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helping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 government policy to use alternative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social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small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Nonrecognition of gain allowed for involuntary conversions.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loss carryover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installment method to recognize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Carryover of excess capital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casualty losses in Federally declared disaster areas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Two years ago, State Y enacted a new income tax credit for college prep materials. The credit is available to individuals and is equal to 40% of the cost of the items. The credit may not exceed $50 in any year. State Y's director of finance has discovered this year that the amount of credit claimed is far higher than expected. Which principle of good tax policy might not have been considered in designing this tax that caused the original cost estimate to be too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tax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taxes is paid </w:t>
            </w:r>
            <w:r>
              <w:rPr>
                <w:rStyle w:val="DefaultParagraphFont"/>
                <w:rFonts w:ascii="Times New Roman" w:eastAsia="Times New Roman" w:hAnsi="Times New Roman" w:cs="Times New Roman"/>
                <w:b w:val="0"/>
                <w:bCs w:val="0"/>
                <w:i/>
                <w:iCs/>
                <w:smallCaps w:val="0"/>
                <w:color w:val="000000"/>
                <w:sz w:val="22"/>
                <w:szCs w:val="22"/>
                <w:bdr w:val="nil"/>
                <w:rtl w:val="0"/>
              </w:rPr>
              <w:t>only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Medicare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rationale for the installment sale method tax rule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Using the following choices,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interest on student loans.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eastAsia="Times New Roman" w:hAnsi="Times New Roman" w:cs="Times New Roman"/>
                <w:b w:val="0"/>
                <w:bCs w:val="0"/>
                <w:i w:val="0"/>
                <w:iCs w:val="0"/>
                <w:smallCaps w:val="0"/>
                <w:color w:val="000000"/>
                <w:sz w:val="22"/>
                <w:szCs w:val="22"/>
                <w:bdr w:val="nil"/>
                <w:rtl w:val="0"/>
              </w:rPr>
              <w:t>dar year 2020 witho</w:t>
            </w:r>
            <w:r>
              <w:rPr>
                <w:rStyle w:val="DefaultParagraphFont"/>
                <w:rFonts w:ascii="Times New Roman" w:eastAsia="Times New Roman" w:hAnsi="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$255,000 [$15,000 (annual exclusion)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 donees].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Paige is the sole shareholder of Citron Corporation. During the year, she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1989, Roy leased real estate to Drab Corporation for 20 years. Drab Corporation made significant capital improvements to the property. In 2008, Drab decided not to renew the lease and vacated the property. At that time, the value of the improvements was $800,000. Roy sells the real estate in 2020 for $1,200,000 of which $900,000 is attributable to the improvements. When is Roy taxed on the improvements made by Drab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Roy is not subject to taxation on the improvements until he disposes of the property (i.e., </w:t>
                  </w:r>
                  <w:r>
                    <w:rPr>
                      <w:rStyle w:val="DefaultParagraphFont"/>
                      <w:rFonts w:ascii="Times New Roman" w:eastAsia="Times New Roman" w:hAnsi="Times New Roman" w:cs="Times New Roman"/>
                      <w:b w:val="0"/>
                      <w:bCs w:val="0"/>
                      <w:i w:val="0"/>
                      <w:iCs w:val="0"/>
                      <w:smallCaps w:val="0"/>
                      <w:color w:val="000000"/>
                      <w:sz w:val="22"/>
                      <w:szCs w:val="22"/>
                      <w:bdr w:val="nil"/>
                      <w:rtl w:val="0"/>
                    </w:rPr>
                    <w:t>2020). After a controversial Supreme Court decision years ago, Congress clarified the tax law to make it more consistent with the wherewithal to pay conc</w:t>
                  </w:r>
                  <w:r>
                    <w:rPr>
                      <w:rStyle w:val="DefaultParagraphFont"/>
                      <w:rFonts w:ascii="Times New Roman" w:eastAsia="Times New Roman" w:hAnsi="Times New Roman" w:cs="Times New Roman"/>
                      <w:b w:val="0"/>
                      <w:bCs w:val="0"/>
                      <w:i w:val="0"/>
                      <w:iCs w:val="0"/>
                      <w:smallCaps w:val="0"/>
                      <w:color w:val="000000"/>
                      <w:sz w:val="22"/>
                      <w:szCs w:val="22"/>
                      <w:bdr w:val="nil"/>
                      <w:rtl w:val="0"/>
                    </w:rPr>
                    <w:t>ept.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is based on a pay-as-you-go system and has become a “mass tax.” Explain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system is present in the wage and other withholding procedures. In the case of self-employed persons, it is manifested in the required quarterly payments for estimated taxes. The income tax became a mass tax during World War II when its coverage was extended to 74% of the population (from less than 6% in 1939).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population change, Goose Creek School District has decided to close one of its high schools. Since it has no further need of the property, the school is listed for sale. The two bids it receives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issues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2018, Deborah became 65 years old. In 2019 she added a swimming pool and in 2020 she converted the residence to rental property and moved into an assisted living facility. Since 2017, Deborah’s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eastAsia="Times New Roman" w:hAnsi="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probably came in 2018 when Deborah reached age 65. The increases probably occurred in 2019 when she added the pool and in 2020 when the residence was converted to rental property with the property reassessed due to the change in use and/or removal of the homestead exemption.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44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compliance in the payment of use taxes can be resolved by several means. In this regard,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comment on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of automobiles.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of Internet purchases on state income tax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As reflected in Example 5, re-registration of a car purchased out of state is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occasion for the owner’s home state to collect the use tax.</w:t>
                        </w:r>
                      </w:p>
                    </w:tc>
                  </w:tr>
                  <w:tr>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state income tax return reminds (or forces) the taxpayer to</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pay use tax on out of state purchases.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pros and cons of the following state and local tax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4"/>
              <w:gridCol w:w="8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holiday made available to a manufacturing plant that is relocating.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 and a rental car surcharge.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back-to-school sales tax holiday.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365" w:type="dxa"/>
                    <w:jc w:val="left"/>
                    <w:tblBorders>
                      <w:top w:val="nil"/>
                      <w:left w:val="nil"/>
                      <w:bottom w:val="nil"/>
                      <w:right w:val="nil"/>
                      <w:insideH w:val="nil"/>
                      <w:insideV w:val="nil"/>
                    </w:tblBorders>
                    <w:tblCellMar>
                      <w:top w:w="0" w:type="dxa"/>
                      <w:left w:w="0" w:type="dxa"/>
                      <w:bottom w:w="0" w:type="dxa"/>
                      <w:right w:w="0" w:type="dxa"/>
                    </w:tblCellMar>
                  </w:tblPr>
                  <w:tblGrid>
                    <w:gridCol w:w="404"/>
                    <w:gridCol w:w="6961"/>
                  </w:tblGrid>
                  <w:tr>
                    <w:tblPrEx>
                      <w:tblW w:w="73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a holiday is designed to attract new industry to the area. This will bring more jobs and growth in consumption. On the other hand, if the tax holiday is too generous, this places a strain on available public revenue. The result could be that schools and capital maintenance (roads, public services) will suffer.</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hotel occupancy tax and car rental surcharges are popular because they mainly impact visitors. Also, they can generate considerable revenue to finance major capital improvements. If these taxes become excessive, however, they could discourage major events (such as conventions).</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holidays are very popular with both merchants and consumers and serve the social need of defraying some of the costs of sending children to school. Once established, however, they are difficult to get rid of. Thus, they become an annual drain on sales tax revenue.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severance tax? How productive can it be in terms of generating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severance tax is one imposed when natural resources (e.g., oil, gas, iron ore, coal) are extracted. It is based on the notion that the state has an interest in such resources. For some states, the revenue from severance taxes can be significant. Alaska, for example, relies heavily on its severance taxes and has been able to avoid both a state income tax and a general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an inheritance tax and an estate tax? Who imposes these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the right to receive property from a decedent. An estate tax is imposed on the right to pass property at death. The Federal government imposes estate taxes and states impose inheritance taxes. Some states impose both, whereas others impose neither.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Logan dies with an estate worth $20 million. Under his will, $10 million passes to his wife and $10 million goes to his church. What is Logan’s Federal estate tax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After a marital deduction of $10 million and a charitable deduction of $10 million, Logan’s taxable estate is $0.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cause an individual to owe income taxes in more than one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in more than one state or owning income-generating property in more than one state can cause this.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state income tax returns contain checkoff boxes for donations to various causes. On what grounds has this procedure been criticized?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many cases, the procedure is overused (i.e., a multiplicity of boxes). This overuse adds complexity to the return. Also, in most cases, the donation is being drawn from any income tax refund that might be due. Thus, taxpayers may not fully appreciate that they are paying for such checkoffs.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Decouple what would be part of the piggyback format of the state income tax.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shaming.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7"/>
                    <w:gridCol w:w="7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decoupling process is easily accomplished regarding new Federal tax changes that have never taken effect at the state level. Taxpayers are not apt to miss what they never have enjoyed.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By use of a public Internet site, the taxing authority posts the names of those taxpayers that are delinquent as to various taxes (e.g., sales, income). This public humiliation (or threat of) very often results in 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Briana lives in one state and works in the adjoining state. Both states tax the income she earns from her job. Does Briana have any relief from this apparent double taxation of the same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allow their residents some form of tax credit for the income taxes paid to other states. In Briana’s case, the credit would be allowed by the state where she lives for the taxes paid to the state where she works.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revenue neutrality, comment on a tax cut enacted by Congress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revenue offsets.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 sunset provision.</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6"/>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to achieve revenue neutrality, all tax cuts should be accompanied by revenue offsets.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 sunset provision does not account for the immediate revenue losses generated by a tax cut. It merely provides that such losses will not continue beyond a specified date when the tax cut expires and the former tax law is reinstated.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considerations are the justification. As to the latter, a better educated workforce carries a positive economic impact.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what basis can this objective be justified?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any negative considerations?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1"/>
                    <w:gridCol w:w="7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Home ownership can be justified on economic and social grounds.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justification for this relief measure?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the proceeds are not entirely reinvested?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7"/>
                    <w:gridCol w:w="7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recognizing that the taxpayer’s relative economic situation has not changed and that he or she lacks the wherewithal to pay a tax, any recognition of realized gain is deferred.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 net operating loss provisions in the tax law mitigate the effect of the annual accounting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the allowance of a loss carryforward, the losses would disappear. As shown by Example 26, this result places a business with profit and loss fluctuations on a more level playing field with one that maintains a stable income pattern.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connection with facilitating the function of the IRS in the administration of the tax laws, comment on the utility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and percentage limitations on the deduction of personal casualty losses  in Federally declared disaster areas.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interest and penalties for taxpayer noncompliance.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85" w:type="dxa"/>
                    <w:jc w:val="left"/>
                    <w:tblBorders>
                      <w:top w:val="nil"/>
                      <w:left w:val="nil"/>
                      <w:bottom w:val="nil"/>
                      <w:right w:val="nil"/>
                      <w:insideH w:val="nil"/>
                      <w:insideV w:val="nil"/>
                    </w:tblBorders>
                    <w:tblCellMar>
                      <w:top w:w="0" w:type="dxa"/>
                      <w:left w:w="0" w:type="dxa"/>
                      <w:bottom w:w="0" w:type="dxa"/>
                      <w:right w:w="0" w:type="dxa"/>
                    </w:tblCellMar>
                  </w:tblPr>
                  <w:tblGrid>
                    <w:gridCol w:w="400"/>
                    <w:gridCol w:w="7085"/>
                  </w:tblGrid>
                  <w:tr>
                    <w:tblPrEx>
                      <w:tblW w:w="74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 reduces the number of</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who choose to itemize their personal deductions. This, in turn, reduces the deductions the IRS has to check.</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placed on casualty and theft losses curtail the number of taxpayers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who can claim the deduction.</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extra penalties, in addition to the tax owed, definitely deters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noncompliance.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reacts to judicial decisions that interpret the tax law in different ways. When it approves of a decision, Congress may act to amend the Code to incorporate the holding. When it disapproves, Congress may amend the Code to nullify its effect. Give an example of each one of these congressional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approved of the judicial conclusion that most stock dividends should be nontaxable and amended the Code to this effect. However, it disagreed as to when leasehold improvements should be taxed to a lessor. Consistent with the wherewithal to pay concept, the improvements are to be taxed on the termination of the lease. Thus, Congress overturned a judicial holding that would have taxed such improvements in the year they are made by the lessee.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 Explain what this means in terms of income and payroll taxes paid by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pays many types of taxes, but like any other expenditure, some of these taxes are ultimately paid by an individual. Income taxes are included in the price the corporation charges for goods and services. Or all or part might result in reduced earnings affecting investors or through reduced wages affecting employees. The payroll taxes paid by the corporate employer are likely borne by workers in the form of lower wages. That is, if the employer did not have to pay the taxes, it could pay higher wages to employees. These taxes might also be borne by customers and investors.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Tomas owns a sole proprietorship, and Lucy is the sole shareholder of a C corporation. In the current year, both businesses make a net profit of $60,000. Neither business distributes any funds to the owners in the year. For the current year, Tomas must report $60,000 of income on his individual tax return, but Lucy is not required to report any income from the corporation on her individual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Carol and Candace are equal partners in Peach Partnership. In the current year, Peach had a net profit of $75,000 ($250,000 gross income – $175,000 operating expenses) and distributed $25,000 to each partner. Peach must pay tax on $75,000 of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Rajib is the sole shareholder of Cardinal Corporation, a calendar year S corporation. In the current year, </w:t>
            </w:r>
            <w:r>
              <w:rPr>
                <w:rStyle w:val="DefaultParagraphFont"/>
                <w:rFonts w:ascii="Times New Roman" w:eastAsia="Times New Roman" w:hAnsi="Times New Roman" w:cs="Times New Roman"/>
                <w:b w:val="0"/>
                <w:bCs w:val="0"/>
                <w:i w:val="0"/>
                <w:iCs w:val="0"/>
                <w:smallCaps w:val="0"/>
                <w:color w:val="000000"/>
                <w:sz w:val="22"/>
                <w:szCs w:val="22"/>
                <w:bdr w:val="nil"/>
                <w:rtl w:val="0"/>
              </w:rPr>
              <w:t>Cardinal generated a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net profit of $350,000 ($520,000 gross income – $170,000 operating expenses) and distributed $80,000 to Rajib. Rajib must report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Cardinal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Corporation profit of $350,000 on his Federal income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Donald owns a 45% interest in a partnership that earned $130,000 in the current year. He also owns 45% of the stock in a C corporation that earned $130,000 during the year. Donald received $20,000 in distributions from each of the two entities during the year. With respect to this information, Donald must report $78,500 of income on his individual income tax return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Quail Corporation is a C corporation </w:t>
            </w:r>
            <w:r>
              <w:rPr>
                <w:rStyle w:val="DefaultParagraphFont"/>
                <w:rFonts w:ascii="Times New Roman" w:eastAsia="Times New Roman" w:hAnsi="Times New Roman" w:cs="Times New Roman"/>
                <w:b w:val="0"/>
                <w:bCs w:val="0"/>
                <w:i w:val="0"/>
                <w:iCs w:val="0"/>
                <w:smallCaps w:val="0"/>
                <w:color w:val="000000"/>
                <w:sz w:val="22"/>
                <w:szCs w:val="22"/>
                <w:bdr w:val="nil"/>
                <w:rtl w:val="0"/>
              </w:rPr>
              <w:t>that generates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net income of $125,000 during the current year. If Quail paid dividends of $25,000 to its shareholders, the corporation must pay tax on $100,000 of net income. Shareholders must report the $25,000 of dividends as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Luis is the sole shareholder of a regular C corporation, and Eduardo owns a proprietorship. In the current year, both businesses make a profit of $80,000, and each owner withdraws $50,000 from his business. With respect to this information, which of the following statements is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Eduardo must report $80,000 of income on his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Luis must report $80,000 of income on his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Eduardo’s proprietorship is not required to pay income tax on $80,000.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Luis’s corporation must pay income tax on $80,000.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INTRODUCTION TO TAXATION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TAXATION</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