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individuals generates more revenue than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law is complicated, most individual taxpayers are not able to complete their Federal income tax returns without outside assistance.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50% use tax return preparers and about 33%  purchase tax return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ratification of the Sixteenth Amendment to the U.S. Constitution was necessary to validate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2"/>
              <w:gridCol w:w="7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 Sixteenth Amendment validated only the tax on </w:t>
                  </w:r>
                  <w:r>
                    <w:rPr>
                      <w:rStyle w:val="DefaultParagraphFont"/>
                      <w:b w:val="0"/>
                      <w:bCs w:val="0"/>
                      <w:i/>
                      <w:iCs/>
                      <w:smallCaps w:val="0"/>
                      <w:color w:val="000000"/>
                      <w:sz w:val="20"/>
                      <w:szCs w:val="20"/>
                      <w:bdr w:val="nil"/>
                      <w:rtl w:val="0"/>
                    </w:rPr>
                    <w:t>individuals</w:t>
                  </w:r>
                  <w:r>
                    <w:rPr>
                      <w:rStyle w:val="DefaultParagraphFont"/>
                      <w:b w:val="0"/>
                      <w:bCs w:val="0"/>
                      <w:i w:val="0"/>
                      <w:iCs w:val="0"/>
                      <w:smallCaps w:val="0"/>
                      <w:color w:val="000000"/>
                      <w:sz w:val="20"/>
                      <w:szCs w:val="20"/>
                      <w:bdr w:val="nil"/>
                      <w:rtl w:val="0"/>
                    </w:rPr>
                    <w:t>. The income tax on corporations had been previously sanctioned by the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the Sixteenth Amendment to the Constitution was ratified, there was no valid Federal income tax on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0"/>
              <w:gridCol w:w="6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There existed a Federal income tax during the Civil War that was sanctioned by the U.S. Supreme Court.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income tax on individuals (after the ratification of the Sixteenth Amendment to the Constitution) levied tax rates from a low of 2% to a high of 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pay-as-you-go feature of the Federal income tax on individuals conforms to Adam Smith’s canon (principle) of certainty.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5"/>
              <w:gridCol w:w="7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Pay-as-you-go refers to the withholding provisions applicable to wages and other types of income and adds </w:t>
                  </w:r>
                  <w:r>
                    <w:rPr>
                      <w:rStyle w:val="DefaultParagraphFont"/>
                      <w:b w:val="0"/>
                      <w:bCs w:val="0"/>
                      <w:i/>
                      <w:iCs/>
                      <w:smallCaps w:val="0"/>
                      <w:color w:val="000000"/>
                      <w:sz w:val="20"/>
                      <w:szCs w:val="20"/>
                      <w:bdr w:val="nil"/>
                      <w:rtl w:val="0"/>
                    </w:rPr>
                    <w:t>convenience</w:t>
                  </w:r>
                  <w:r>
                    <w:rPr>
                      <w:rStyle w:val="DefaultParagraphFont"/>
                      <w:b w:val="0"/>
                      <w:bCs w:val="0"/>
                      <w:i w:val="0"/>
                      <w:iCs w:val="0"/>
                      <w:smallCaps w:val="0"/>
                      <w:color w:val="000000"/>
                      <w:sz w:val="20"/>
                      <w:szCs w:val="20"/>
                      <w:bdr w:val="nil"/>
                      <w:rtl w:val="0"/>
                    </w:rPr>
                    <w:t xml:space="preserve"> to the tax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1-03 - LO: 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FICA tax (Medicare component) on wages is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since the tax due increases as wages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5"/>
              <w:gridCol w:w="6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 FICA tax (Medicare component) is </w:t>
                  </w:r>
                  <w:r>
                    <w:rPr>
                      <w:rStyle w:val="DefaultParagraphFont"/>
                      <w:b w:val="0"/>
                      <w:bCs w:val="0"/>
                      <w:i/>
                      <w:iCs/>
                      <w:smallCaps w:val="0"/>
                      <w:color w:val="000000"/>
                      <w:sz w:val="20"/>
                      <w:szCs w:val="20"/>
                      <w:bdr w:val="nil"/>
                      <w:rtl w:val="0"/>
                    </w:rPr>
                    <w:t>proportional</w:t>
                  </w:r>
                  <w:r>
                    <w:rPr>
                      <w:rStyle w:val="DefaultParagraphFont"/>
                      <w:b w:val="0"/>
                      <w:bCs w:val="0"/>
                      <w:i w:val="0"/>
                      <w:iCs w:val="0"/>
                      <w:smallCaps w:val="0"/>
                      <w:color w:val="000000"/>
                      <w:sz w:val="20"/>
                      <w:szCs w:val="20"/>
                      <w:bdr w:val="nil"/>
                      <w:rtl w:val="0"/>
                    </w:rPr>
                    <w:t xml:space="preserve"> because the rate is constant regardless of the wages earned.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1-03 - LO: 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estate and gift taxes are examples of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1-03 - LO: 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excise tax on cigarettes is an example of a </w:t>
            </w:r>
            <w:r>
              <w:rPr>
                <w:rStyle w:val="DefaultParagraphFont"/>
                <w:rFonts w:ascii="Times New Roman" w:eastAsia="Times New Roman" w:hAnsi="Times New Roman" w:cs="Times New Roman"/>
                <w:b w:val="0"/>
                <w:bCs w:val="0"/>
                <w:i/>
                <w:iCs/>
                <w:smallCaps w:val="0"/>
                <w:color w:val="000000"/>
                <w:sz w:val="22"/>
                <w:szCs w:val="22"/>
                <w:bdr w:val="nil"/>
                <w:rtl w:val="0"/>
              </w:rPr>
              <w:t>proportional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tax is a flat $1.01 per pack.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1-03 - LO: 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Federal income tax is less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than it ever has been in the past.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Currently, the Federal income tax has six rates. At one time, it had two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1-03 - LO: 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Mona inherits her mother’s personal residence, which she converts to a furnished rental house. These changes should affect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levied on the properties.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Conversion from residential to rental use will increase the taxes. Furthermore, Mona’s mother may have had a senior citizen exemption on the property, which will no longer be appropriate. Lastly, the furnishings in the rent house could now be subject to an </w:t>
                  </w:r>
                  <w:r>
                    <w:rPr>
                      <w:rStyle w:val="DefaultParagraphFont"/>
                      <w:b w:val="0"/>
                      <w:bCs w:val="0"/>
                      <w:i/>
                      <w:iCs/>
                      <w:smallCaps w:val="0"/>
                      <w:color w:val="000000"/>
                      <w:sz w:val="20"/>
                      <w:szCs w:val="20"/>
                      <w:bdr w:val="nil"/>
                      <w:rtl w:val="0"/>
                    </w:rPr>
                    <w:t>ad valorem</w:t>
                  </w:r>
                  <w:r>
                    <w:rPr>
                      <w:rStyle w:val="DefaultParagraphFont"/>
                      <w:b w:val="0"/>
                      <w:bCs w:val="0"/>
                      <w:i w:val="0"/>
                      <w:iCs w:val="0"/>
                      <w:smallCaps w:val="0"/>
                      <w:color w:val="000000"/>
                      <w:sz w:val="20"/>
                      <w:szCs w:val="20"/>
                      <w:bdr w:val="nil"/>
                      <w:rtl w:val="0"/>
                    </w:rPr>
                    <w:t xml:space="preserve"> tax on personalty.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fixture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be subject to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personalty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realty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By definition, a fixture becomes part of the real estate to which it is attached.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Even if property tax rates are not changed,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imposed on realty may not remain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2"/>
              <w:gridCol w:w="6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Property taxes will vary in accordance with changes in the assessed value of the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 use personalty is more often avoided by taxpayers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business use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excise tax is no longer imposed on admission to theaters.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Such tax has been rescinded.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Federal excise tax on hotel occupancy.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gas-guzzler tax applies only to automobiles manufactured overseas and imported into the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 such restriction is imposed. Although many of the European luxury and sports car manufacturers were initially hit hard by the tax, the law is silent on this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Like the Federal counterpart, the amount of the state excise taxes on gasoline varies from state to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Federal excise tax rate on gasoline remains constant.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Not all of the states that impose a general sales tax also have a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9"/>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Every state that has a general sales tax also has a use tax. There are no states with only a sales or use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Sales made by mail order are not exempt from the application of a general sales (or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They are not exempt but compliance is sporadic.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Two persons who live in the same state but in different counties may not be subject to the same general sales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This possibility could exist if local jurisdictions exact additional sales taxes.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States impose either 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general sales tax, but not both types of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Many states impose both.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safe and easy way for a taxpayer to avoid local and state sales taxes is to make the purchase in a state that levies no such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3"/>
              <w:gridCol w:w="6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review of the Example 5 discussion shows that this may not always be successful.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On transfers by death, the Federal government relies on an estate tax, while states impose an estate tax, an inheritance tax, both taxes, or neither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0"/>
              <w:gridCol w:w="6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Federal government relies on an estate tax while states impose an estate tax, an inheritance tax, both taxes, or neither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a decedent’s right to pass property at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What is described is an estate tax. An inheritance tax is a tax on an heir’s right to receive property from a decedent.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reasons for the enactment of the Federal estate tax was to prevent large amounts of wealth from being accumulated within the family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Clint’s will, all of his property passes to either the Lutheran Church or to his wife. No Federal estate tax will be due on Clint’s death in 2017.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2"/>
              <w:gridCol w:w="6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combination of the charitable and marital deductions will eliminate Clint’s taxable estate.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usual state inheritance tax, two heirs, a cousin and a son of the deceased, would not be taxed at the same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27"/>
              <w:gridCol w:w="6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more closely related the heir is to the decedent, the larger the exemption allowed and/or the lower the tax rate imposed.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exclusion, currently $14,000, is available for gift and estate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annual exclusion is not available for estate tax purposes.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2017, José, a widower, sells land (fair market value of $100,000) to his daughter, Linda, for $50,000. José has not made a taxable gift.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8"/>
              <w:gridCol w:w="69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 (value of land) – $50,000 (consideration received) – $14,000 (per donee annual exclusion) = $36,000 (taxable gift).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Julius, a married taxpayer, makes gifts to each of his six children. A maximum of twelve annual exclusions could be allowed as to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7"/>
              <w:gridCol w:w="6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If Julius can obtain the consent of his wife to make the election to split the gifts, twelve per donee annual exclusions are available.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motivations for making a gift is to save on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2"/>
              <w:gridCol w:w="6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This presumes that income-producing property is involved and that the donee is in a lower tax bracket than the donor.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 for the Federal income tax on corporations is the same as that applicable to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For example, an AGI determination is required only for individual taxpayers.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can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imposed on </w:t>
            </w:r>
            <w:r>
              <w:rPr>
                <w:rStyle w:val="DefaultParagraphFont"/>
                <w:rFonts w:ascii="Times New Roman" w:eastAsia="Times New Roman" w:hAnsi="Times New Roman" w:cs="Times New Roman"/>
                <w:b w:val="0"/>
                <w:bCs w:val="0"/>
                <w:i/>
                <w:iCs/>
                <w:smallCaps w:val="0"/>
                <w:color w:val="000000"/>
                <w:sz w:val="22"/>
                <w:szCs w:val="22"/>
                <w:bdr w:val="nil"/>
                <w:rtl w:val="0"/>
              </w:rPr>
              <w:t>nonresident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taxpayers who earn income within the state on an itinerant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Highly-paid taxpayers (e.g., entertainers, athletes) are often subject to a state’s income tax. The so-called “jock tax” has been criticized since it singles out highly-paid and well known personalities and is not imposed on the average business traveler.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For state income tax purposes, a majority of states allow a deduction for Federal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Only a minority allow the deduction.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Some states use their state income tax return as a means of collecting unpaid sales and use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Often a table is provided that suggests an amount to be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No state has offered an income tax amnesty program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One state has had at least four.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For Federal income tax purposes, there never has been a general amnesty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2"/>
              <w:gridCol w:w="6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Limited amnesty has been made available as to various tax penalties in certain tax shelter situations.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state amnesty programs, all delinquent and unpaid income taxes are forgiven.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taxes and interest are not forgiven. Only the penalties are forgiven.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 state decouples from a Federal tax provision, it means that this provision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apply for state income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52"/>
              <w:gridCol w:w="65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view of tight state finances, decoupling from various Federal tax cuts has become quite common.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principal objective of the FUTA tax is to provide some measure of retirement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This is the objective of the FICA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tax base for the Social Security component of the FICA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limited to a dollar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There is no dollar amount limitation on the Medicare component of FICA.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parent employs his twin daughters, age 17, in his sole proprietorship. The daughters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subject to FICA coverage.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An exemption exists for taxpayer’s children who are </w:t>
                  </w:r>
                  <w:r>
                    <w:rPr>
                      <w:rStyle w:val="DefaultParagraphFont"/>
                      <w:b w:val="0"/>
                      <w:bCs w:val="0"/>
                      <w:i/>
                      <w:iCs/>
                      <w:smallCaps w:val="0"/>
                      <w:color w:val="000000"/>
                      <w:sz w:val="20"/>
                      <w:szCs w:val="20"/>
                      <w:bdr w:val="nil"/>
                      <w:rtl w:val="0"/>
                    </w:rPr>
                    <w:t>under age 18</w:t>
                  </w:r>
                  <w:r>
                    <w:rPr>
                      <w:rStyle w:val="DefaultParagraphFont"/>
                      <w:b w:val="0"/>
                      <w:bCs w:val="0"/>
                      <w:i w:val="0"/>
                      <w:iCs w:val="0"/>
                      <w:smallCaps w:val="0"/>
                      <w:color w:val="000000"/>
                      <w:sz w:val="20"/>
                      <w:szCs w:val="20"/>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FICA, FUTA requires that employers comply with state as well as Federal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This is a major difference between FICA and FUTA.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advantage of a flat tax type of income tax is its simplicity.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value added tax (VAT) </w:t>
            </w:r>
            <w:r>
              <w:rPr>
                <w:rStyle w:val="DefaultParagraphFont"/>
                <w:rFonts w:ascii="Times New Roman" w:eastAsia="Times New Roman" w:hAnsi="Times New Roman" w:cs="Times New Roman"/>
                <w:b w:val="0"/>
                <w:bCs w:val="0"/>
                <w:i/>
                <w:iCs/>
                <w:smallCaps w:val="0"/>
                <w:color w:val="000000"/>
                <w:sz w:val="22"/>
                <w:szCs w:val="22"/>
                <w:bdr w:val="nil"/>
                <w:rtl w:val="0"/>
              </w:rPr>
              <w:t>has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had wide acceptance in the international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use in 140 countries seems to represent “wide acceptance.”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more IRS audits are producing a greater number of </w:t>
            </w:r>
            <w:r>
              <w:rPr>
                <w:rStyle w:val="DefaultParagraphFont"/>
                <w:rFonts w:ascii="Times New Roman" w:eastAsia="Times New Roman" w:hAnsi="Times New Roman" w:cs="Times New Roman"/>
                <w:b w:val="0"/>
                <w:bCs w:val="0"/>
                <w:i/>
                <w:iCs/>
                <w:smallCaps w:val="0"/>
                <w:color w:val="000000"/>
                <w:sz w:val="22"/>
                <w:szCs w:val="22"/>
                <w:bdr w:val="nil"/>
                <w:rtl w:val="0"/>
              </w:rPr>
              <w:t>no change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results, this indicates increased compliance on the part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3"/>
              <w:gridCol w:w="66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indicates that the IRS is not always choosing the right returns to audit (i.e., those that contain errors).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amount of a taxpayer’s itemized deductions </w:t>
            </w:r>
            <w:r>
              <w:rPr>
                <w:rStyle w:val="DefaultParagraphFont"/>
                <w:rFonts w:ascii="Times New Roman" w:eastAsia="Times New Roman" w:hAnsi="Times New Roman" w:cs="Times New Roman"/>
                <w:b w:val="0"/>
                <w:bCs w:val="0"/>
                <w:i/>
                <w:iCs/>
                <w:smallCaps w:val="0"/>
                <w:color w:val="000000"/>
                <w:sz w:val="22"/>
                <w:szCs w:val="22"/>
                <w:bdr w:val="nil"/>
                <w:rtl w:val="0"/>
              </w:rPr>
              <w:t>will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increase the chance of being audited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6"/>
              <w:gridCol w:w="6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If the taxpayer has itemized deductions that are unusually large, the chances of being selected for audit increase.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office audit, the audit by the IRS takes place at the office of the taxpayer.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3"/>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What is described is a field audit. An office audit takes place at the office of the IRS.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agent auditing the return </w:t>
            </w:r>
            <w:r>
              <w:rPr>
                <w:rStyle w:val="DefaultParagraphFont"/>
                <w:rFonts w:ascii="Times New Roman" w:eastAsia="Times New Roman" w:hAnsi="Times New Roman" w:cs="Times New Roman"/>
                <w:b w:val="0"/>
                <w:bCs w:val="0"/>
                <w:i/>
                <w:iCs/>
                <w:smallCaps w:val="0"/>
                <w:color w:val="000000"/>
                <w:sz w:val="22"/>
                <w:szCs w:val="22"/>
                <w:bdr w:val="nil"/>
                <w:rtl w:val="0"/>
              </w:rPr>
              <w:t>will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issue an RAR even if the taxpayer owes no additional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RAR can result in no change, a deficiency, or a refund.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“special agent” becomes involved in the audit of a return, this indicates that the IRS suspects that fraud is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files early (i.e., before the due date of the return), the statute of limitations on assessments begins on the date the return is filed.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If begins on the due date of the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For omissions from gross income in excess of 25% of that reported, there is no statute of limitations on additional income tax assessments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Unless fraud is involved, the statute of limitations in this case is six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an income tax return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filed by a taxpayer, there is no statute of limitations on assessments of tax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If fraud is involved, there is no time limit on the assessment of a deficiency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IRS is required to redetermine the interest rate on underpayments and overpayments once a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Interest rates are determined quarterly by the IRS.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 calendar year taxpayer files his 2016 Federal income tax return on March 4, 2017. The return reflects an overpayment of $6,000, and the taxpayer requests a refund of this amount. The refund is paid on May 16, 2017. The refund need not include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5"/>
              <w:gridCol w:w="6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Because 45 days have not gone by since the </w:t>
                  </w:r>
                  <w:r>
                    <w:rPr>
                      <w:rStyle w:val="DefaultParagraphFont"/>
                      <w:b w:val="0"/>
                      <w:bCs w:val="0"/>
                      <w:i/>
                      <w:iCs/>
                      <w:smallCaps w:val="0"/>
                      <w:color w:val="000000"/>
                      <w:sz w:val="20"/>
                      <w:szCs w:val="20"/>
                      <w:bdr w:val="nil"/>
                      <w:rtl w:val="0"/>
                    </w:rPr>
                    <w:t>due date</w:t>
                  </w:r>
                  <w:r>
                    <w:rPr>
                      <w:rStyle w:val="DefaultParagraphFont"/>
                      <w:b w:val="0"/>
                      <w:bCs w:val="0"/>
                      <w:i w:val="0"/>
                      <w:iCs w:val="0"/>
                      <w:smallCaps w:val="0"/>
                      <w:color w:val="000000"/>
                      <w:sz w:val="20"/>
                      <w:szCs w:val="20"/>
                      <w:bdr w:val="nil"/>
                      <w:rtl w:val="0"/>
                    </w:rPr>
                    <w:t xml:space="preserve"> of the return, interest need not be paid on the refund.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individual taxpayers, the interest rate for income tax refunds (overpayments) </w:t>
            </w:r>
            <w:r>
              <w:rPr>
                <w:rStyle w:val="DefaultParagraphFont"/>
                <w:rFonts w:ascii="Times New Roman" w:eastAsia="Times New Roman" w:hAnsi="Times New Roman" w:cs="Times New Roman"/>
                <w:b w:val="0"/>
                <w:bCs w:val="0"/>
                <w:i/>
                <w:iCs/>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same as that applicable to assessments (underpayments).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There exists no difference in the applicable interest rates for </w:t>
                  </w:r>
                  <w:r>
                    <w:rPr>
                      <w:rStyle w:val="DefaultParagraphFont"/>
                      <w:b w:val="0"/>
                      <w:bCs w:val="0"/>
                      <w:i/>
                      <w:iCs/>
                      <w:smallCaps w:val="0"/>
                      <w:color w:val="000000"/>
                      <w:sz w:val="20"/>
                      <w:szCs w:val="20"/>
                      <w:bdr w:val="nil"/>
                      <w:rtl w:val="0"/>
                    </w:rPr>
                    <w:t>individual</w:t>
                  </w:r>
                  <w:r>
                    <w:rPr>
                      <w:rStyle w:val="DefaultParagraphFont"/>
                      <w:b w:val="0"/>
                      <w:bCs w:val="0"/>
                      <w:i w:val="0"/>
                      <w:iCs w:val="0"/>
                      <w:smallCaps w:val="0"/>
                      <w:color w:val="000000"/>
                      <w:sz w:val="20"/>
                      <w:szCs w:val="20"/>
                      <w:bdr w:val="nil"/>
                      <w:rtl w:val="0"/>
                    </w:rPr>
                    <w:t xml:space="preserve"> taxpayers.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During any month in which both the failure to file penalty and the failure to pay penalty apply, the failure to file penalty is </w:t>
            </w:r>
            <w:r>
              <w:rPr>
                <w:rStyle w:val="DefaultParagraphFont"/>
                <w:rFonts w:ascii="Times New Roman" w:eastAsia="Times New Roman" w:hAnsi="Times New Roman" w:cs="Times New Roman"/>
                <w:b w:val="0"/>
                <w:bCs w:val="0"/>
                <w:i/>
                <w:iCs/>
                <w:smallCaps w:val="0"/>
                <w:color w:val="000000"/>
                <w:sz w:val="22"/>
                <w:szCs w:val="22"/>
                <w:bdr w:val="nil"/>
                <w:rtl w:val="0"/>
              </w:rPr>
              <w:t>increased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amount of the failure to pay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 failure to file penalty </w:t>
                  </w:r>
                  <w:r>
                    <w:rPr>
                      <w:rStyle w:val="DefaultParagraphFont"/>
                      <w:b w:val="0"/>
                      <w:bCs w:val="0"/>
                      <w:i/>
                      <w:iCs/>
                      <w:smallCaps w:val="0"/>
                      <w:color w:val="000000"/>
                      <w:sz w:val="20"/>
                      <w:szCs w:val="20"/>
                      <w:bdr w:val="nil"/>
                      <w:rtl w:val="0"/>
                    </w:rPr>
                    <w:t>is reduced</w:t>
                  </w:r>
                  <w:r>
                    <w:rPr>
                      <w:rStyle w:val="DefaultParagraphFont"/>
                      <w:b w:val="0"/>
                      <w:bCs w:val="0"/>
                      <w:i w:val="0"/>
                      <w:iCs w:val="0"/>
                      <w:smallCaps w:val="0"/>
                      <w:color w:val="000000"/>
                      <w:sz w:val="20"/>
                      <w:szCs w:val="20"/>
                      <w:bdr w:val="nil"/>
                      <w:rtl w:val="0"/>
                    </w:rPr>
                    <w:t xml:space="preserve"> by the amount of the failure to pay penalty.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interest is charged on a deficiency, any part of a month counts as a full month.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Interest accrues daily.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negligence penalty to apply, the underpayment must be caused by intentional disregard of rules and regulations without intent to defraud.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the negligence penalty situation, there is no intent to defraud requirement.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Upon audit by the IRS, Faith is assessed a deficiency of $40,000 of which $25,000 is attributable to negligence. The 20% negligence penalty will apply to $25,000.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negligence penalty applies only to $25,000.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tax deficiency is attributable to fraud, the negligence penalty will not be imposed.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civil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fraud penalty can entail large fines and possible incarceration.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5"/>
              <w:gridCol w:w="6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What is described is </w:t>
                  </w:r>
                  <w:r>
                    <w:rPr>
                      <w:rStyle w:val="DefaultParagraphFont"/>
                      <w:b w:val="0"/>
                      <w:bCs w:val="0"/>
                      <w:i/>
                      <w:iCs/>
                      <w:smallCaps w:val="0"/>
                      <w:color w:val="000000"/>
                      <w:sz w:val="20"/>
                      <w:szCs w:val="20"/>
                      <w:bdr w:val="nil"/>
                      <w:rtl w:val="0"/>
                    </w:rPr>
                    <w:t>criminal</w:t>
                  </w:r>
                  <w:r>
                    <w:rPr>
                      <w:rStyle w:val="DefaultParagraphFont"/>
                      <w:b w:val="0"/>
                      <w:bCs w:val="0"/>
                      <w:i w:val="0"/>
                      <w:iCs w:val="0"/>
                      <w:smallCaps w:val="0"/>
                      <w:color w:val="000000"/>
                      <w:sz w:val="20"/>
                      <w:szCs w:val="20"/>
                      <w:bdr w:val="nil"/>
                      <w:rtl w:val="0"/>
                    </w:rPr>
                    <w:t xml:space="preserve"> fraud. Civil fraud involves a monetary penalty of 75% of the deficiency attributable to fraud.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a client refuses to correct an error on a past return, it may be possible for a practitioner to continue to prepare returns for the client.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6"/>
              <w:gridCol w:w="7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However, if the error is material and carries over to the current year, the preparer should consider withdrawing from the engagement.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preparing an income tax return, the use of a client’s estimates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permitted.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2"/>
              <w:gridCol w:w="6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Estimates are allowed if reasonable and not given the appearance of greater accuracy than is the 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 preparing a tax return, all questions on the return must be answered.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9"/>
              <w:gridCol w:w="7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question need not be answered if the information requested is not readily available, the answer is voluminous, or the question’s meaning is uncertain.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CPA firm in California sends many of its less complex tax returns to be prepared by a group of accountants in India. If certain procedures are followed, this outsourcing of tax return preparation is proper.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9"/>
              <w:gridCol w:w="6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Confidentiality must be secured; accuracy verified; and clients advised of the procedure.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objective of </w:t>
            </w:r>
            <w:r>
              <w:rPr>
                <w:rStyle w:val="DefaultParagraphFont"/>
                <w:rFonts w:ascii="Times New Roman" w:eastAsia="Times New Roman" w:hAnsi="Times New Roman" w:cs="Times New Roman"/>
                <w:b w:val="0"/>
                <w:bCs w:val="0"/>
                <w:i/>
                <w:iCs/>
                <w:smallCaps w:val="0"/>
                <w:color w:val="000000"/>
                <w:sz w:val="22"/>
                <w:szCs w:val="22"/>
                <w:bdr w:val="nil"/>
                <w:rtl w:val="0"/>
              </w:rPr>
              <w:t>pay-as-you-go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paygo</w:t>
            </w:r>
            <w:r>
              <w:rPr>
                <w:rStyle w:val="DefaultParagraphFont"/>
                <w:rFonts w:ascii="Times New Roman" w:eastAsia="Times New Roman" w:hAnsi="Times New Roman" w:cs="Times New Roman"/>
                <w:b w:val="0"/>
                <w:bCs w:val="0"/>
                <w:i w:val="0"/>
                <w:iCs w:val="0"/>
                <w:smallCaps w:val="0"/>
                <w:color w:val="000000"/>
                <w:sz w:val="22"/>
                <w:szCs w:val="22"/>
                <w:bdr w:val="nil"/>
                <w:rtl w:val="0"/>
              </w:rPr>
              <w:t>) is to improve administrative feasibility.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Congress enacts a tax cut that is phased in over a period of years, revenue neutrality is achieved.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87"/>
              <w:gridCol w:w="7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 tax cut is revenue neutral unless accompanied by a revenue offset. A phase-in merely postpones some of the revenue loss caused by the tax cut.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tax cut enacted by Congress that contains a </w:t>
            </w:r>
            <w:r>
              <w:rPr>
                <w:rStyle w:val="DefaultParagraphFont"/>
                <w:rFonts w:ascii="Times New Roman" w:eastAsia="Times New Roman" w:hAnsi="Times New Roman" w:cs="Times New Roman"/>
                <w:b w:val="0"/>
                <w:bCs w:val="0"/>
                <w:i/>
                <w:iCs/>
                <w:smallCaps w:val="0"/>
                <w:color w:val="000000"/>
                <w:sz w:val="22"/>
                <w:szCs w:val="22"/>
                <w:bdr w:val="nil"/>
                <w:rtl w:val="0"/>
              </w:rPr>
              <w:t>sunset provision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make the tax cut temporary.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sunset provision rescinds the change and reinstates former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provides various tax credits, deductions, and exclusions that are designed to encourage taxpayers to obtain additional education. These provisions can be justified on both economic and equity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justification is social and economic.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provisions encourage the creation of certain types of retirement plans. Such provisions can be justified on both economic and social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justification is attributable to the savings that result. In terms of social justification, private retirement plans supplement the meager benefits provided by Social Security and, thereby, circumvent the need for public assistance.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To lessen, or eliminate, the effect of multiple taxation, a taxpayer who is subject to both foreign and U.S. income taxes on the same income is allowed either a deduction or a credit for the foreign tax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To mitigate the effect of the annual accounting period concept, the tax law permits the carryforward to other years of the excess charitable contributions of a particular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This is also the case with excess capital losses.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Jason’s business warehouse is destroyed by fire. As the insurance proceeds exceed the basis of the property, a gain results. If Jason shortly reinvests the proceeds in a new warehouse, no gain is recognized due to the application of the 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As it is consistent with the wherewithal to pay concept, the tax law requires a seller to recognize gain in the year the installment sale occurs.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seller is taxed in the years the installment payments are received.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Stealth taxes have the effect of generating additional taxes from all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7"/>
              <w:gridCol w:w="6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Stealth taxes phase out (or eliminate) certain tax benefits from </w:t>
                  </w:r>
                  <w:r>
                    <w:rPr>
                      <w:rStyle w:val="DefaultParagraphFont"/>
                      <w:b w:val="0"/>
                      <w:bCs w:val="0"/>
                      <w:i/>
                      <w:iCs/>
                      <w:smallCaps w:val="0"/>
                      <w:color w:val="000000"/>
                      <w:sz w:val="20"/>
                      <w:szCs w:val="20"/>
                      <w:bdr w:val="nil"/>
                      <w:rtl w:val="0"/>
                    </w:rPr>
                    <w:t>higher income</w:t>
                  </w:r>
                  <w:r>
                    <w:rPr>
                      <w:rStyle w:val="DefaultParagraphFont"/>
                      <w:b w:val="0"/>
                      <w:bCs w:val="0"/>
                      <w:i w:val="0"/>
                      <w:iCs w:val="0"/>
                      <w:smallCaps w:val="0"/>
                      <w:color w:val="000000"/>
                      <w:sz w:val="20"/>
                      <w:szCs w:val="20"/>
                      <w:bdr w:val="nil"/>
                      <w:rtl w:val="0"/>
                    </w:rPr>
                    <w:t xml:space="preserve"> taxpayers.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provision in the law that compels accrual basis taxpayers to pay a tax on prepaid income in the year received and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earned is consistent with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3"/>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is inconsistent with accounting rules, although it can be justified for tax purposes under the wherewithal to pay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As a matter of administrative convenience, the IRS would prefer to have Congress decrease (rather than increase) the amount of the standard deduction allowed to individual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Just the opposite is the 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1-08 - LO: 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In cases of doubt, courts have held that tax relief provisions should be broadly construed in favor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Such provisions should be </w:t>
                  </w:r>
                  <w:r>
                    <w:rPr>
                      <w:rStyle w:val="DefaultParagraphFont"/>
                      <w:rFonts w:ascii="Times New Roman" w:eastAsia="Times New Roman" w:hAnsi="Times New Roman" w:cs="Times New Roman"/>
                      <w:b w:val="0"/>
                      <w:bCs w:val="0"/>
                      <w:i/>
                      <w:iCs/>
                      <w:smallCaps w:val="0"/>
                      <w:color w:val="000000"/>
                      <w:sz w:val="22"/>
                      <w:szCs w:val="22"/>
                      <w:bdr w:val="nil"/>
                      <w:rtl w:val="0"/>
                    </w:rPr>
                    <w:t>narrowly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construed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in favor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taxpayers.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1-08 - LO: 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On occasion, Congress has to enact legislation that clarifies the tax law in order to change a result reached by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1-08 - LO: 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if any, of the following statements best describes the history of the Federal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did not exist during the Civil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corporations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individuals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Federal income tax on individuals and on corporations was held by the U.S. Supreme Court to be contrary to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Adam Smith’s canons (principles) of taxation?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in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of payment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1-03 - LO: 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taxes are </w:t>
            </w:r>
            <w:r>
              <w:rPr>
                <w:rStyle w:val="DefaultParagraphFont"/>
                <w:rFonts w:ascii="Times New Roman" w:eastAsia="Times New Roman" w:hAnsi="Times New Roman" w:cs="Times New Roman"/>
                <w:b w:val="0"/>
                <w:bCs w:val="0"/>
                <w:i/>
                <w:iCs/>
                <w:smallCaps w:val="0"/>
                <w:color w:val="000000"/>
                <w:sz w:val="22"/>
                <w:szCs w:val="22"/>
                <w:bdr w:val="nil"/>
                <w:rtl w:val="0"/>
              </w:rPr>
              <w:t>proportional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corporate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estate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gift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 taxes are applied at a constant rate that does not progress.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1-03 - LO: 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revenue from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resident dies and leaves his farm to his church.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property owner issues a conservation easement as to some of her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issued 10 years ago has expired.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bankrupt motel is acquired by the Red Cross and is to be used to provide housing for homeless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Although a farm was probably subject to reduced valuation (due to its agricultural use), it will now be fully exempt since it is owned by a church (choice a.). Property that is subject to a conservation easement is usually appraised at a lower value (choice b.). The expiration of a tax holiday means that the property involved can now be taxed (choice c.). The motel has been converted from business property to exempt charitable use (choice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decrease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revenue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 granted to an out-of-state business that is searching for a new factory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abandoned church is converted to a restaurant.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public school is razed and turned into a city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university sells a dormitory that will be converted for use as an apartment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Choice a. has an effect since the tax holiday was granted. Choice b. will increase taxes as the church was abandoned and previously exempt. Choice c. converts one tax-exempt property (i.e., school) into another (i.e., public park). Choice d. probably places the building on the tax rolls because it is no longer owned by a tax-exempt institution.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is a typical characteristic of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compliance is greater for personal use property than for business use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automobiles sometimes considers the age of the vehicle.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impose a tax on intangibles.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intangibles generates considerable revenue since it is difficult for taxpayers to avoid.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Taxpayer compliance is greater with business use property (choice a.). Very few states impose a tax on intangibles (choice c.) because it is easily avoided and does not generate much revenue (choice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Federal excise taxes that are </w:t>
            </w:r>
            <w:r>
              <w:rPr>
                <w:rStyle w:val="DefaultParagraphFont"/>
                <w:rFonts w:ascii="Times New Roman" w:eastAsia="Times New Roman" w:hAnsi="Times New Roman" w:cs="Times New Roman"/>
                <w:b w:val="0"/>
                <w:bCs w:val="0"/>
                <w:i/>
                <w:iCs/>
                <w:smallCaps w:val="0"/>
                <w:color w:val="000000"/>
                <w:sz w:val="22"/>
                <w:szCs w:val="22"/>
                <w:bdr w:val="nil"/>
                <w:rtl w:val="0"/>
              </w:rPr>
              <w:t>no longer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air travel.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wagering.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the manufacture of sporting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w:t>
            </w:r>
            <w:r>
              <w:rPr>
                <w:rStyle w:val="DefaultParagraphFont"/>
                <w:rFonts w:ascii="Times New Roman" w:eastAsia="Times New Roman" w:hAnsi="Times New Roman" w:cs="Times New Roman"/>
                <w:b w:val="0"/>
                <w:bCs w:val="0"/>
                <w:i/>
                <w:iCs/>
                <w:smallCaps w:val="0"/>
                <w:color w:val="000000"/>
                <w:sz w:val="22"/>
                <w:szCs w:val="22"/>
                <w:bdr w:val="nil"/>
                <w:rtl w:val="0"/>
              </w:rPr>
              <w:t>not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 (tariffs on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rental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 guzzler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imposes an excise tax on tobacco (choice a.), customs duties (choice b.), and a gas guzzler tax (choice d.). It does not impose a tax on rental cars (choice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both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and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1"/>
              <w:gridCol w:w="6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Choices a., c., and d. are levied at the state or local level. Choice b. is strictly a Federal levy.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all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states impose a tobacco excise tax (choice a.). Most states impose individual income taxes (choice b.) and general sales taxes (choice d.), and only some states impose inheritance taxes (choice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A use tax is imposed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 majority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states and not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states and not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use tax is a complement to a general sales tax. Consequently, it is imposed by most states because only a few states do not have a general sales tax. At this point, the Federal government has no general sales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Burt and Lisa are married and live in a common law state. Burt wants to make gifts to their four children in 2017</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maximum amount of the annual exclusion they will be allowed for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85"/>
              <w:gridCol w:w="7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4 (number of donees) </w:t>
                  </w:r>
                  <w:r>
                    <w:rPr>
                      <w:rStyle w:val="DefaultParagraphFont"/>
                      <w:rFonts w:ascii="times" w:eastAsia="times" w:hAnsi="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$14,000 (annual exclusion) </w:t>
                  </w:r>
                  <w:r>
                    <w:rPr>
                      <w:rStyle w:val="DefaultParagraphFont"/>
                      <w:rFonts w:ascii="times" w:eastAsia="times" w:hAnsi="times" w:cs="times"/>
                      <w:b w:val="0"/>
                      <w:bCs w:val="0"/>
                      <w:i w:val="0"/>
                      <w:iCs w:val="0"/>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2 (number of donors) = $112,000. It is assumed that Lisa will make the election to split the gifts.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Property can be transferred within the family group by gift or at death. One motivation for preferring the gift approach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higher unified transfer tax credit available under the gift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a future decline in value of the property transferred.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per donee annual exclusion.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shift income to higher bracket donees.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 per donee annual exclusion is only available for gift tax purposes (choice c.). Ideally, gifts should involve property that is expected to </w:t>
                  </w:r>
                  <w:r>
                    <w:rPr>
                      <w:rStyle w:val="DefaultParagraphFont"/>
                      <w:b w:val="0"/>
                      <w:bCs w:val="0"/>
                      <w:i/>
                      <w:iCs/>
                      <w:smallCaps w:val="0"/>
                      <w:color w:val="000000"/>
                      <w:sz w:val="20"/>
                      <w:szCs w:val="20"/>
                      <w:bdr w:val="nil"/>
                      <w:rtl w:val="0"/>
                    </w:rPr>
                    <w:t>appreciate</w:t>
                  </w:r>
                  <w:r>
                    <w:rPr>
                      <w:rStyle w:val="DefaultParagraphFont"/>
                      <w:b w:val="0"/>
                      <w:bCs w:val="0"/>
                      <w:i w:val="0"/>
                      <w:iCs w:val="0"/>
                      <w:smallCaps w:val="0"/>
                      <w:color w:val="000000"/>
                      <w:sz w:val="20"/>
                      <w:szCs w:val="20"/>
                      <w:bdr w:val="nil"/>
                      <w:rtl w:val="0"/>
                    </w:rPr>
                    <w:t xml:space="preserve"> in value (choice b.). A higher unified tax credit is not available for gift tax purposes (choice a.). Usually the donor is trying to shift future income to </w:t>
                  </w:r>
                  <w:r>
                    <w:rPr>
                      <w:rStyle w:val="DefaultParagraphFont"/>
                      <w:b w:val="0"/>
                      <w:bCs w:val="0"/>
                      <w:i/>
                      <w:iCs/>
                      <w:smallCaps w:val="0"/>
                      <w:color w:val="000000"/>
                      <w:sz w:val="20"/>
                      <w:szCs w:val="20"/>
                      <w:bdr w:val="nil"/>
                      <w:rtl w:val="0"/>
                    </w:rPr>
                    <w:t>lower</w:t>
                  </w:r>
                  <w:r>
                    <w:rPr>
                      <w:rStyle w:val="DefaultParagraphFont"/>
                      <w:b w:val="0"/>
                      <w:bCs w:val="0"/>
                      <w:i w:val="0"/>
                      <w:iCs w:val="0"/>
                      <w:smallCaps w:val="0"/>
                      <w:color w:val="000000"/>
                      <w:sz w:val="20"/>
                      <w:szCs w:val="20"/>
                      <w:bdr w:val="nil"/>
                      <w:rtl w:val="0"/>
                    </w:rPr>
                    <w:t xml:space="preserve"> bracket donees (choice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Indicate which, if any,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State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piggyback to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apply to visiting nonresidents.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decouple from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provide occasional amnesty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Many states piggyback to the Federal system (choice a.). Some states, due to revenue shortfalls, have decoupled from various provisions of the Federal version (choice c.). The “jock tax,” although much criticized, is very much in being (choice b.). Some states have had more than one amnesty period (choice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 income taxes </w:t>
            </w:r>
            <w:r>
              <w:rPr>
                <w:rStyle w:val="DefaultParagraphFont"/>
                <w:rFonts w:ascii="Times New Roman" w:eastAsia="Times New Roman" w:hAnsi="Times New Roman" w:cs="Times New Roman"/>
                <w:b w:val="0"/>
                <w:bCs w:val="0"/>
                <w:i/>
                <w:iCs/>
                <w:smallCaps w:val="0"/>
                <w:color w:val="000000"/>
                <w:sz w:val="22"/>
                <w:szCs w:val="22"/>
                <w:bdr w:val="nil"/>
                <w:rtl w:val="0"/>
              </w:rPr>
              <w:t>generally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date for filing as the Federal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provision for withholding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Federal income taxes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only to individuals and not applying to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FICA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apply when one spouse works for the other spouse.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only on the employer.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modest source of income in the event of loss of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administered by both state and Federal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FICA is imposed on </w:t>
                  </w:r>
                  <w:r>
                    <w:rPr>
                      <w:rStyle w:val="DefaultParagraphFont"/>
                      <w:b w:val="0"/>
                      <w:bCs w:val="0"/>
                      <w:i/>
                      <w:iCs/>
                      <w:smallCaps w:val="0"/>
                      <w:color w:val="000000"/>
                      <w:sz w:val="20"/>
                      <w:szCs w:val="20"/>
                      <w:bdr w:val="nil"/>
                      <w:rtl w:val="0"/>
                    </w:rPr>
                    <w:t>both</w:t>
                  </w:r>
                  <w:r>
                    <w:rPr>
                      <w:rStyle w:val="DefaultParagraphFont"/>
                      <w:b w:val="0"/>
                      <w:bCs w:val="0"/>
                      <w:i w:val="0"/>
                      <w:iCs w:val="0"/>
                      <w:smallCaps w:val="0"/>
                      <w:color w:val="000000"/>
                      <w:sz w:val="20"/>
                      <w:szCs w:val="20"/>
                      <w:bdr w:val="nil"/>
                      <w:rtl w:val="0"/>
                    </w:rPr>
                    <w:t xml:space="preserve"> the employer and the employee (choice b.). Spouses who work for each other are not exempt from the tax (choice a.). Its objective is retirement income, not loss of employment (choice c.). It is administered only by the Federal government (choice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FUTA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 both employer and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solely on the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 requires following guidelines issued by both state and Federal regulatory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is applicable to spouses of employees but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any children under age 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FUTA is imposed only on the employer (choices a. and b.). Choice d. refers to FICA. Because the administration of FUTA is shared by Federal and state governments, employers must comply with the rules issued by each (choice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U.S. (either Federal, state, or local) </w:t>
            </w:r>
            <w:r>
              <w:rPr>
                <w:rStyle w:val="DefaultParagraphFont"/>
                <w:rFonts w:ascii="Times New Roman" w:eastAsia="Times New Roman" w:hAnsi="Times New Roman" w:cs="Times New Roman"/>
                <w:b w:val="0"/>
                <w:bCs w:val="0"/>
                <w:i/>
                <w:iCs/>
                <w:smallCaps w:val="0"/>
                <w:color w:val="000000"/>
                <w:sz w:val="22"/>
                <w:szCs w:val="22"/>
                <w:bdr w:val="nil"/>
                <w:rtl w:val="0"/>
              </w:rPr>
              <w:t>does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Severance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fees.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 duties.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proposed </w:t>
            </w:r>
            <w:r>
              <w:rPr>
                <w:rStyle w:val="DefaultParagraphFont"/>
                <w:rFonts w:ascii="Times New Roman" w:eastAsia="Times New Roman" w:hAnsi="Times New Roman" w:cs="Times New Roman"/>
                <w:b w:val="0"/>
                <w:bCs w:val="0"/>
                <w:i/>
                <w:iCs/>
                <w:smallCaps w:val="0"/>
                <w:color w:val="000000"/>
                <w:sz w:val="22"/>
                <w:szCs w:val="22"/>
                <w:bdr w:val="nil"/>
                <w:rtl w:val="0"/>
              </w:rPr>
              <w:t>flat tax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eliminate the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simplify the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tax the increment in value as goods move through the production and manufacturing stages to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tax on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7"/>
              <w:gridCol w:w="7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There is only a single rate. The tax base is simplified by taxing only limited types of income. Many deductions and credits would be eliminated.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 VAT (value added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regressive in its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not proved popular outside of the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 on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exclusively by third world (less developed)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Both the VAT and a general sales tax are taxes on consumption (choice c.) and are regressive in effect (choice a.). The VAT has been adopted by many countries (choice b.), many of which (e.g., Japan, Denmark) </w:t>
                  </w:r>
                  <w:r>
                    <w:rPr>
                      <w:rStyle w:val="DefaultParagraphFont"/>
                      <w:b w:val="0"/>
                      <w:bCs w:val="0"/>
                      <w:i/>
                      <w:iCs/>
                      <w:smallCaps w:val="0"/>
                      <w:color w:val="000000"/>
                      <w:sz w:val="20"/>
                      <w:szCs w:val="20"/>
                      <w:bdr w:val="nil"/>
                      <w:rtl w:val="0"/>
                    </w:rPr>
                    <w:t>are not</w:t>
                  </w:r>
                  <w:r>
                    <w:rPr>
                      <w:rStyle w:val="DefaultParagraphFont"/>
                      <w:b w:val="0"/>
                      <w:bCs w:val="0"/>
                      <w:i w:val="0"/>
                      <w:iCs w:val="0"/>
                      <w:smallCaps w:val="0"/>
                      <w:color w:val="000000"/>
                      <w:sz w:val="20"/>
                      <w:szCs w:val="20"/>
                      <w:bdr w:val="nil"/>
                      <w:rtl w:val="0"/>
                    </w:rPr>
                    <w:t xml:space="preserve"> third world countries (choice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the “Fair Tax” (i.e., national sales tax) include which, if any,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the Federal individual (but not the corporate)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taxes but retention of payroll taxes (including the self-employment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taxes and payroll taxes but retention of the Federal estate and gift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and payroll taxes as well as the Federal estate and gift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terms of probability, which of the following taxpayers would be </w:t>
            </w:r>
            <w:r>
              <w:rPr>
                <w:rStyle w:val="DefaultParagraphFont"/>
                <w:rFonts w:ascii="Times New Roman" w:eastAsia="Times New Roman" w:hAnsi="Times New Roman" w:cs="Times New Roman"/>
                <w:b w:val="0"/>
                <w:bCs w:val="0"/>
                <w:i/>
                <w:iCs/>
                <w:smallCaps w:val="0"/>
                <w:color w:val="000000"/>
                <w:sz w:val="22"/>
                <w:szCs w:val="22"/>
                <w:bdr w:val="nil"/>
                <w:rtl w:val="0"/>
              </w:rPr>
              <w:t>least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be audited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owns and operates a check-cashing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is an employed electrician.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just received a $3 million personal injury award as a result of a lawsuit.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just won a $1 million slot machine jackpot at a Las Vegas casino.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has been audited several times before.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Employees are subject to income tax withholding and have little opportunity to avoid reporting income (choice b.). Casino gambling income is subject to Form 1099 reporting (choice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val="0"/>
                <w:bCs w:val="0"/>
                <w:i/>
                <w:iCs/>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the audit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taxpayer audits involve “special”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Self-employed taxpayers are less likely to be selected for audit than employed taxpayers.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important issues are handled by means of a correspondence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disagrees with the IRS auditor’s finding, the only resort is to the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Special agents are assigned to an audit only when fraud might be involved (choice a.). Self-employed persons have more flexibility in manipulating income and deductions than do employed taxpayers (choice b.). The next step after an initial audit would be the Appeals Division within the IRS (choice d.). Settlement at this level could avoid costly litigation.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88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David files his tax return 45 days after the due date. Along with the return, David remits a check for $40,000 which is the balance of the tax owed. Disregarding the interest element, David’s total failure to file and to pay penalties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8385" w:type="dxa"/>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808"/>
              <w:gridCol w:w="5667"/>
              <w:gridCol w:w="946"/>
              <w:gridCol w:w="889"/>
            </w:tblGrid>
            <w:tr>
              <w:tblPrEx>
                <w:tblW w:w="8385" w:type="dxa"/>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6660" w:type="dxa"/>
                  <w:gridSpan w:val="2"/>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pay penalty [0.5%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$40,000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2 (two months violation)]</w:t>
                  </w:r>
                </w:p>
              </w:tc>
              <w:tc>
                <w:tcPr>
                  <w:tcW w:w="1755" w:type="dxa"/>
                  <w:gridSpan w:val="2"/>
                  <w:noWrap w:val="0"/>
                  <w:tcMar>
                    <w:top w:w="15" w:type="dxa"/>
                    <w:left w:w="15" w:type="dxa"/>
                    <w:bottom w:w="15" w:type="dxa"/>
                    <w:right w:w="15"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$ 400</w:t>
                  </w:r>
                </w:p>
              </w:tc>
            </w:tr>
            <w:tr>
              <w:tblPrEx>
                <w:tblW w:w="8385" w:type="dxa"/>
                <w:jc w:val="left"/>
                <w:tblCellSpacing w:w="15" w:type="dxa"/>
                <w:tblCellMar>
                  <w:top w:w="15" w:type="dxa"/>
                  <w:left w:w="15" w:type="dxa"/>
                  <w:bottom w:w="15" w:type="dxa"/>
                  <w:right w:w="15" w:type="dxa"/>
                </w:tblCellMar>
              </w:tblPrEx>
              <w:trPr>
                <w:cantSplit w:val="0"/>
                <w:tblCellSpacing w:w="15" w:type="dxa"/>
                <w:jc w:val="left"/>
              </w:trPr>
              <w:tc>
                <w:tcPr>
                  <w:tcW w:w="79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Plus:</w:t>
                  </w:r>
                </w:p>
              </w:tc>
              <w:tc>
                <w:tcPr>
                  <w:tcW w:w="589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file penalty [5%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$40,000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2 (two months violation)]</w:t>
                  </w:r>
                </w:p>
              </w:tc>
              <w:tc>
                <w:tcPr>
                  <w:tcW w:w="930" w:type="dxa"/>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$4,000</w:t>
                  </w:r>
                </w:p>
              </w:tc>
              <w:tc>
                <w:tcPr>
                  <w:tcW w:w="870" w:type="dxa"/>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tblW w:w="8385" w:type="dxa"/>
                <w:jc w:val="left"/>
                <w:tblCellSpacing w:w="15" w:type="dxa"/>
                <w:tblCellMar>
                  <w:top w:w="15" w:type="dxa"/>
                  <w:left w:w="15" w:type="dxa"/>
                  <w:bottom w:w="15" w:type="dxa"/>
                  <w:right w:w="15" w:type="dxa"/>
                </w:tblCellMar>
              </w:tblPrEx>
              <w:trPr>
                <w:cantSplit w:val="0"/>
                <w:tblCellSpacing w:w="15" w:type="dxa"/>
                <w:jc w:val="left"/>
              </w:trPr>
              <w:tc>
                <w:tcPr>
                  <w:tcW w:w="79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589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Less: Failure to pay penalty</w:t>
                  </w:r>
                </w:p>
              </w:tc>
              <w:tc>
                <w:tcPr>
                  <w:tcW w:w="930" w:type="dxa"/>
                  <w:noWrap w:val="0"/>
                  <w:tcMar>
                    <w:top w:w="15" w:type="dxa"/>
                    <w:left w:w="15" w:type="dxa"/>
                    <w:bottom w:w="15" w:type="dxa"/>
                    <w:right w:w="15"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(400)</w:t>
                  </w:r>
                </w:p>
              </w:tc>
              <w:tc>
                <w:tcPr>
                  <w:tcW w:w="870" w:type="dxa"/>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    3,600</w:t>
                  </w:r>
                </w:p>
              </w:tc>
            </w:tr>
            <w:tr>
              <w:tblPrEx>
                <w:tblW w:w="8385" w:type="dxa"/>
                <w:jc w:val="left"/>
                <w:tblCellSpacing w:w="15" w:type="dxa"/>
                <w:tblCellMar>
                  <w:top w:w="15" w:type="dxa"/>
                  <w:left w:w="15" w:type="dxa"/>
                  <w:bottom w:w="15" w:type="dxa"/>
                  <w:right w:w="15" w:type="dxa"/>
                </w:tblCellMar>
              </w:tblPrEx>
              <w:trPr>
                <w:cantSplit w:val="0"/>
                <w:tblCellSpacing w:w="15" w:type="dxa"/>
                <w:jc w:val="left"/>
              </w:trPr>
              <w:tc>
                <w:tcPr>
                  <w:tcW w:w="6660" w:type="dxa"/>
                  <w:gridSpan w:val="2"/>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Total penalties</w:t>
                  </w:r>
                </w:p>
              </w:tc>
              <w:tc>
                <w:tcPr>
                  <w:tcW w:w="930" w:type="dxa"/>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870" w:type="dxa"/>
                  <w:noWrap w:val="0"/>
                  <w:tcMar>
                    <w:top w:w="15" w:type="dxa"/>
                    <w:left w:w="15" w:type="dxa"/>
                    <w:bottom w:w="15" w:type="dxa"/>
                    <w:right w:w="15"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  $4,000</w:t>
                  </w:r>
                </w:p>
                <w:p>
                  <w:pPr>
                    <w:bidi w:val="0"/>
                    <w:jc w:val="right"/>
                  </w:pPr>
                </w:p>
              </w:tc>
            </w:tr>
          </w:tbl>
          <w:p>
            <w:pPr>
              <w:rPr>
                <w:vanish/>
              </w:rPr>
            </w:pPr>
          </w:p>
          <w:tbl>
            <w:tblPr>
              <w:tblW w:w="8385" w:type="dxa"/>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808"/>
              <w:gridCol w:w="5667"/>
              <w:gridCol w:w="946"/>
              <w:gridCol w:w="889"/>
            </w:tblGrid>
            <w:tr>
              <w:tblPrEx>
                <w:tblW w:w="8385" w:type="dxa"/>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6660" w:type="dxa"/>
                  <w:gridSpan w:val="2"/>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pay penalty [0.5%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$40,000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2 (two months violation)]</w:t>
                  </w:r>
                </w:p>
              </w:tc>
              <w:tc>
                <w:tcPr>
                  <w:tcW w:w="1755" w:type="dxa"/>
                  <w:gridSpan w:val="2"/>
                  <w:noWrap w:val="0"/>
                  <w:tcMar>
                    <w:top w:w="15" w:type="dxa"/>
                    <w:left w:w="15" w:type="dxa"/>
                    <w:bottom w:w="15" w:type="dxa"/>
                    <w:right w:w="15"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$ 400</w:t>
                  </w:r>
                </w:p>
              </w:tc>
            </w:tr>
            <w:tr>
              <w:tblPrEx>
                <w:tblW w:w="8385" w:type="dxa"/>
                <w:jc w:val="left"/>
                <w:tblCellSpacing w:w="15" w:type="dxa"/>
                <w:tblCellMar>
                  <w:top w:w="15" w:type="dxa"/>
                  <w:left w:w="15" w:type="dxa"/>
                  <w:bottom w:w="15" w:type="dxa"/>
                  <w:right w:w="15" w:type="dxa"/>
                </w:tblCellMar>
              </w:tblPrEx>
              <w:trPr>
                <w:cantSplit w:val="0"/>
                <w:tblCellSpacing w:w="15" w:type="dxa"/>
                <w:jc w:val="left"/>
              </w:trPr>
              <w:tc>
                <w:tcPr>
                  <w:tcW w:w="79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Plus:</w:t>
                  </w:r>
                </w:p>
              </w:tc>
              <w:tc>
                <w:tcPr>
                  <w:tcW w:w="589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file penalty [5%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$40,000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2 (two months violation)]</w:t>
                  </w:r>
                </w:p>
              </w:tc>
              <w:tc>
                <w:tcPr>
                  <w:tcW w:w="930" w:type="dxa"/>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$4,000</w:t>
                  </w:r>
                </w:p>
              </w:tc>
              <w:tc>
                <w:tcPr>
                  <w:tcW w:w="870" w:type="dxa"/>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tblW w:w="8385" w:type="dxa"/>
                <w:jc w:val="left"/>
                <w:tblCellSpacing w:w="15" w:type="dxa"/>
                <w:tblCellMar>
                  <w:top w:w="15" w:type="dxa"/>
                  <w:left w:w="15" w:type="dxa"/>
                  <w:bottom w:w="15" w:type="dxa"/>
                  <w:right w:w="15" w:type="dxa"/>
                </w:tblCellMar>
              </w:tblPrEx>
              <w:trPr>
                <w:cantSplit w:val="0"/>
                <w:tblCellSpacing w:w="15" w:type="dxa"/>
                <w:jc w:val="left"/>
              </w:trPr>
              <w:tc>
                <w:tcPr>
                  <w:tcW w:w="79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589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Less: Failure to pay penalty</w:t>
                  </w:r>
                </w:p>
              </w:tc>
              <w:tc>
                <w:tcPr>
                  <w:tcW w:w="930" w:type="dxa"/>
                  <w:noWrap w:val="0"/>
                  <w:tcMar>
                    <w:top w:w="15" w:type="dxa"/>
                    <w:left w:w="15" w:type="dxa"/>
                    <w:bottom w:w="15" w:type="dxa"/>
                    <w:right w:w="15"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(400)</w:t>
                  </w:r>
                </w:p>
              </w:tc>
              <w:tc>
                <w:tcPr>
                  <w:tcW w:w="870" w:type="dxa"/>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    3,600</w:t>
                  </w:r>
                </w:p>
              </w:tc>
            </w:tr>
            <w:tr>
              <w:tblPrEx>
                <w:tblW w:w="8385" w:type="dxa"/>
                <w:jc w:val="left"/>
                <w:tblCellSpacing w:w="15" w:type="dxa"/>
                <w:tblCellMar>
                  <w:top w:w="15" w:type="dxa"/>
                  <w:left w:w="15" w:type="dxa"/>
                  <w:bottom w:w="15" w:type="dxa"/>
                  <w:right w:w="15" w:type="dxa"/>
                </w:tblCellMar>
              </w:tblPrEx>
              <w:trPr>
                <w:cantSplit w:val="0"/>
                <w:tblCellSpacing w:w="15" w:type="dxa"/>
                <w:jc w:val="left"/>
              </w:trPr>
              <w:tc>
                <w:tcPr>
                  <w:tcW w:w="6660" w:type="dxa"/>
                  <w:gridSpan w:val="2"/>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Total penalties</w:t>
                  </w:r>
                </w:p>
              </w:tc>
              <w:tc>
                <w:tcPr>
                  <w:tcW w:w="930" w:type="dxa"/>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870" w:type="dxa"/>
                  <w:noWrap w:val="0"/>
                  <w:tcMar>
                    <w:top w:w="15" w:type="dxa"/>
                    <w:left w:w="15" w:type="dxa"/>
                    <w:bottom w:w="15" w:type="dxa"/>
                    <w:right w:w="15"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  $4,000</w:t>
                  </w:r>
                </w:p>
                <w:p>
                  <w:pPr>
                    <w:bidi w:val="0"/>
                    <w:jc w:val="right"/>
                  </w:pPr>
                </w:p>
              </w:tc>
            </w:tr>
          </w:tbl>
          <w:p>
            <w:pPr>
              <w:rPr>
                <w:vanish/>
              </w:rPr>
            </w:pPr>
          </w:p>
          <w:tbl>
            <w:tblPr>
              <w:tblW w:w="8385" w:type="dxa"/>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808"/>
              <w:gridCol w:w="5667"/>
              <w:gridCol w:w="946"/>
              <w:gridCol w:w="889"/>
            </w:tblGrid>
            <w:tr>
              <w:tblPrEx>
                <w:tblW w:w="8385" w:type="dxa"/>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6660" w:type="dxa"/>
                  <w:gridSpan w:val="2"/>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pay penalty [0.5%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$40,000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2 (two months violation)]</w:t>
                  </w:r>
                </w:p>
              </w:tc>
              <w:tc>
                <w:tcPr>
                  <w:tcW w:w="1755" w:type="dxa"/>
                  <w:gridSpan w:val="2"/>
                  <w:noWrap w:val="0"/>
                  <w:tcMar>
                    <w:top w:w="15" w:type="dxa"/>
                    <w:left w:w="15" w:type="dxa"/>
                    <w:bottom w:w="15" w:type="dxa"/>
                    <w:right w:w="15"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$ 400</w:t>
                  </w:r>
                </w:p>
              </w:tc>
            </w:tr>
            <w:tr>
              <w:tblPrEx>
                <w:tblW w:w="8385" w:type="dxa"/>
                <w:jc w:val="left"/>
                <w:tblCellSpacing w:w="15" w:type="dxa"/>
                <w:tblCellMar>
                  <w:top w:w="15" w:type="dxa"/>
                  <w:left w:w="15" w:type="dxa"/>
                  <w:bottom w:w="15" w:type="dxa"/>
                  <w:right w:w="15" w:type="dxa"/>
                </w:tblCellMar>
              </w:tblPrEx>
              <w:trPr>
                <w:cantSplit w:val="0"/>
                <w:tblCellSpacing w:w="15" w:type="dxa"/>
                <w:jc w:val="left"/>
              </w:trPr>
              <w:tc>
                <w:tcPr>
                  <w:tcW w:w="79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Plus:</w:t>
                  </w:r>
                </w:p>
              </w:tc>
              <w:tc>
                <w:tcPr>
                  <w:tcW w:w="589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file penalty [5%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$40,000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2 (two months violation)]</w:t>
                  </w:r>
                </w:p>
              </w:tc>
              <w:tc>
                <w:tcPr>
                  <w:tcW w:w="930" w:type="dxa"/>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$4,000</w:t>
                  </w:r>
                </w:p>
              </w:tc>
              <w:tc>
                <w:tcPr>
                  <w:tcW w:w="870" w:type="dxa"/>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tblW w:w="8385" w:type="dxa"/>
                <w:jc w:val="left"/>
                <w:tblCellSpacing w:w="15" w:type="dxa"/>
                <w:tblCellMar>
                  <w:top w:w="15" w:type="dxa"/>
                  <w:left w:w="15" w:type="dxa"/>
                  <w:bottom w:w="15" w:type="dxa"/>
                  <w:right w:w="15" w:type="dxa"/>
                </w:tblCellMar>
              </w:tblPrEx>
              <w:trPr>
                <w:cantSplit w:val="0"/>
                <w:tblCellSpacing w:w="15" w:type="dxa"/>
                <w:jc w:val="left"/>
              </w:trPr>
              <w:tc>
                <w:tcPr>
                  <w:tcW w:w="79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589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Less: Failure to pay penalty</w:t>
                  </w:r>
                </w:p>
              </w:tc>
              <w:tc>
                <w:tcPr>
                  <w:tcW w:w="930" w:type="dxa"/>
                  <w:noWrap w:val="0"/>
                  <w:tcMar>
                    <w:top w:w="15" w:type="dxa"/>
                    <w:left w:w="15" w:type="dxa"/>
                    <w:bottom w:w="15" w:type="dxa"/>
                    <w:right w:w="15"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(400)</w:t>
                  </w:r>
                </w:p>
              </w:tc>
              <w:tc>
                <w:tcPr>
                  <w:tcW w:w="870" w:type="dxa"/>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    3,600</w:t>
                  </w:r>
                </w:p>
              </w:tc>
            </w:tr>
            <w:tr>
              <w:tblPrEx>
                <w:tblW w:w="8385" w:type="dxa"/>
                <w:jc w:val="left"/>
                <w:tblCellSpacing w:w="15" w:type="dxa"/>
                <w:tblCellMar>
                  <w:top w:w="15" w:type="dxa"/>
                  <w:left w:w="15" w:type="dxa"/>
                  <w:bottom w:w="15" w:type="dxa"/>
                  <w:right w:w="15" w:type="dxa"/>
                </w:tblCellMar>
              </w:tblPrEx>
              <w:trPr>
                <w:cantSplit w:val="0"/>
                <w:tblCellSpacing w:w="15" w:type="dxa"/>
                <w:jc w:val="left"/>
              </w:trPr>
              <w:tc>
                <w:tcPr>
                  <w:tcW w:w="6660" w:type="dxa"/>
                  <w:gridSpan w:val="2"/>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Total penalties</w:t>
                  </w:r>
                </w:p>
              </w:tc>
              <w:tc>
                <w:tcPr>
                  <w:tcW w:w="930" w:type="dxa"/>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870" w:type="dxa"/>
                  <w:noWrap w:val="0"/>
                  <w:tcMar>
                    <w:top w:w="15" w:type="dxa"/>
                    <w:left w:w="15" w:type="dxa"/>
                    <w:bottom w:w="15" w:type="dxa"/>
                    <w:right w:w="15"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  $4,000</w:t>
                  </w:r>
                </w:p>
                <w:p>
                  <w:pPr>
                    <w:bidi w:val="0"/>
                    <w:jc w:val="righ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Following the procedure identified in Example 20, the penalty is determined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455" w:type="dxa"/>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796"/>
                    <w:gridCol w:w="4852"/>
                    <w:gridCol w:w="890"/>
                    <w:gridCol w:w="843"/>
                  </w:tblGrid>
                  <w:tr>
                    <w:tblPrEx>
                      <w:tblW w:w="7455" w:type="dxa"/>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6660" w:type="dxa"/>
                        <w:gridSpan w:val="2"/>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pay penalty [0.5%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$40,000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2 (two</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months violation)]</w:t>
                        </w:r>
                      </w:p>
                    </w:tc>
                    <w:tc>
                      <w:tcPr>
                        <w:tcW w:w="1755" w:type="dxa"/>
                        <w:gridSpan w:val="2"/>
                        <w:noWrap w:val="0"/>
                        <w:tcMar>
                          <w:top w:w="15" w:type="dxa"/>
                          <w:left w:w="15" w:type="dxa"/>
                          <w:bottom w:w="15" w:type="dxa"/>
                          <w:right w:w="15"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$ 400</w:t>
                        </w:r>
                      </w:p>
                    </w:tc>
                  </w:tr>
                  <w:tr>
                    <w:tblPrEx>
                      <w:tblW w:w="7455" w:type="dxa"/>
                      <w:jc w:val="left"/>
                      <w:tblCellSpacing w:w="15" w:type="dxa"/>
                      <w:tblCellMar>
                        <w:top w:w="15" w:type="dxa"/>
                        <w:left w:w="15" w:type="dxa"/>
                        <w:bottom w:w="15" w:type="dxa"/>
                        <w:right w:w="15" w:type="dxa"/>
                      </w:tblCellMar>
                    </w:tblPrEx>
                    <w:trPr>
                      <w:cantSplit w:val="0"/>
                      <w:tblCellSpacing w:w="15" w:type="dxa"/>
                      <w:jc w:val="left"/>
                    </w:trPr>
                    <w:tc>
                      <w:tcPr>
                        <w:tcW w:w="79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w:t>
                        </w:r>
                      </w:p>
                    </w:tc>
                    <w:tc>
                      <w:tcPr>
                        <w:tcW w:w="589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file penalty [5%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$40,000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(two months violation)]</w:t>
                        </w:r>
                      </w:p>
                    </w:tc>
                    <w:tc>
                      <w:tcPr>
                        <w:tcW w:w="930" w:type="dxa"/>
                        <w:noWrap w:val="0"/>
                        <w:tcMar>
                          <w:top w:w="15" w:type="dxa"/>
                          <w:left w:w="15" w:type="dxa"/>
                          <w:bottom w:w="15" w:type="dxa"/>
                          <w:right w:w="15" w:type="dxa"/>
                        </w:tcMar>
                        <w:vAlign w:val="bottom"/>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 </w:t>
                        </w:r>
                      </w:p>
                    </w:tc>
                    <w:tc>
                      <w:tcPr>
                        <w:tcW w:w="870" w:type="dxa"/>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455" w:type="dxa"/>
                      <w:jc w:val="left"/>
                      <w:tblCellSpacing w:w="15" w:type="dxa"/>
                      <w:tblCellMar>
                        <w:top w:w="15" w:type="dxa"/>
                        <w:left w:w="15" w:type="dxa"/>
                        <w:bottom w:w="15" w:type="dxa"/>
                        <w:right w:w="15" w:type="dxa"/>
                      </w:tblCellMar>
                    </w:tblPrEx>
                    <w:trPr>
                      <w:cantSplit w:val="0"/>
                      <w:tblCellSpacing w:w="15" w:type="dxa"/>
                      <w:jc w:val="left"/>
                    </w:trPr>
                    <w:tc>
                      <w:tcPr>
                        <w:tcW w:w="79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9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Failure to pay penalty</w:t>
                        </w:r>
                      </w:p>
                    </w:tc>
                    <w:tc>
                      <w:tcPr>
                        <w:tcW w:w="930" w:type="dxa"/>
                        <w:noWrap w:val="0"/>
                        <w:tcMar>
                          <w:top w:w="15" w:type="dxa"/>
                          <w:left w:w="15" w:type="dxa"/>
                          <w:bottom w:w="15" w:type="dxa"/>
                          <w:right w:w="15"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(400)</w:t>
                        </w:r>
                      </w:p>
                    </w:tc>
                    <w:tc>
                      <w:tcPr>
                        <w:tcW w:w="870" w:type="dxa"/>
                        <w:noWrap w:val="0"/>
                        <w:tcMar>
                          <w:top w:w="15" w:type="dxa"/>
                          <w:left w:w="15" w:type="dxa"/>
                          <w:bottom w:w="15" w:type="dxa"/>
                          <w:right w:w="15" w:type="dxa"/>
                        </w:tcMar>
                        <w:vAlign w:val="center"/>
                      </w:tcPr>
                      <w:p>
                        <w:pPr>
                          <w:bidi w:val="0"/>
                          <w:jc w:val="right"/>
                        </w:pPr>
                      </w:p>
                    </w:tc>
                  </w:tr>
                  <w:tr>
                    <w:tblPrEx>
                      <w:tblW w:w="7455" w:type="dxa"/>
                      <w:jc w:val="left"/>
                      <w:tblCellSpacing w:w="15" w:type="dxa"/>
                      <w:tblCellMar>
                        <w:top w:w="15" w:type="dxa"/>
                        <w:left w:w="15" w:type="dxa"/>
                        <w:bottom w:w="15" w:type="dxa"/>
                        <w:right w:w="15" w:type="dxa"/>
                      </w:tblCellMar>
                    </w:tblPrEx>
                    <w:trPr>
                      <w:cantSplit w:val="0"/>
                      <w:tblCellSpacing w:w="15" w:type="dxa"/>
                      <w:jc w:val="left"/>
                    </w:trPr>
                    <w:tc>
                      <w:tcPr>
                        <w:tcW w:w="79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30"/>
                            <w:szCs w:val="30"/>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File Penalty</w:t>
                        </w:r>
                      </w:p>
                    </w:tc>
                    <w:tc>
                      <w:tcPr>
                        <w:tcW w:w="589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30"/>
                            <w:szCs w:val="30"/>
                            <w:bdr w:val="nil"/>
                            <w:rtl w:val="0"/>
                          </w:rPr>
                          <w:t> </w:t>
                        </w:r>
                      </w:p>
                    </w:tc>
                    <w:tc>
                      <w:tcPr>
                        <w:tcW w:w="930" w:type="dxa"/>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30"/>
                            <w:szCs w:val="30"/>
                            <w:bdr w:val="nil"/>
                            <w:rtl w:val="0"/>
                          </w:rPr>
                          <w:t> </w:t>
                        </w:r>
                      </w:p>
                    </w:tc>
                    <w:tc>
                      <w:tcPr>
                        <w:tcW w:w="870" w:type="dxa"/>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3,600</w:t>
                        </w:r>
                        <w:r>
                          <w:rPr>
                            <w:rStyle w:val="DefaultParagraphFont"/>
                            <w:rFonts w:ascii="Times New Roman" w:eastAsia="Times New Roman" w:hAnsi="Times New Roman" w:cs="Times New Roman"/>
                            <w:b w:val="0"/>
                            <w:bCs w:val="0"/>
                            <w:i w:val="0"/>
                            <w:iCs w:val="0"/>
                            <w:smallCaps w:val="0"/>
                            <w:color w:val="000000"/>
                            <w:sz w:val="30"/>
                            <w:szCs w:val="30"/>
                            <w:bdr w:val="nil"/>
                            <w:rtl w:val="0"/>
                          </w:rPr>
                          <w:t> </w:t>
                        </w:r>
                      </w:p>
                    </w:tc>
                  </w:tr>
                  <w:tr>
                    <w:tblPrEx>
                      <w:tblW w:w="7455" w:type="dxa"/>
                      <w:jc w:val="left"/>
                      <w:tblCellSpacing w:w="15" w:type="dxa"/>
                      <w:tblCellMar>
                        <w:top w:w="15" w:type="dxa"/>
                        <w:left w:w="15" w:type="dxa"/>
                        <w:bottom w:w="15" w:type="dxa"/>
                        <w:right w:w="15" w:type="dxa"/>
                      </w:tblCellMar>
                    </w:tblPrEx>
                    <w:trPr>
                      <w:cantSplit w:val="0"/>
                      <w:tblCellSpacing w:w="15" w:type="dxa"/>
                      <w:jc w:val="left"/>
                    </w:trPr>
                    <w:tc>
                      <w:tcPr>
                        <w:tcW w:w="6660" w:type="dxa"/>
                        <w:gridSpan w:val="2"/>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penalties</w:t>
                        </w:r>
                      </w:p>
                    </w:tc>
                    <w:tc>
                      <w:tcPr>
                        <w:tcW w:w="930" w:type="dxa"/>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70" w:type="dxa"/>
                        <w:noWrap w:val="0"/>
                        <w:tcMar>
                          <w:top w:w="15" w:type="dxa"/>
                          <w:left w:w="15" w:type="dxa"/>
                          <w:bottom w:w="15" w:type="dxa"/>
                          <w:right w:w="15"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$4,000</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the fraud penalties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negligence and civil fraud apply to a deficiency, the negligence penalty predominates.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fraud can result in a fine and a prison sentence.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criminal fraud penalty is 75% of the deficiency attributable to the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IRS has the same burden of proof in the case of criminal fraud than with civil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Choice b. describes criminal fraud, while choice c. describes civil fraud. When both negligence and civil fraud exists as to the same deficiency, both penalties cannot apply and the civil fraud penalty predominates (choice a.). In the case of criminal fraud, the IRS must also show willfulness on the part of the taxpayer (choice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proper ethical guidelines, which (if any) of the following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client estimates in preparing a return may be acceptable.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no circumstances should a question on a tax return be left unanswered.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client has made a mistake in a prior year’s return and refuses to correct it, you should withdraw from the engagement.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exact amount of a deduction is not certain (e.g., around mid-$600s), it </w:t>
                  </w:r>
                  <w:r>
                    <w:rPr>
                      <w:rStyle w:val="DefaultParagraphFont"/>
                      <w:rFonts w:ascii="Times New Roman" w:eastAsia="Times New Roman" w:hAnsi="Times New Roman" w:cs="Times New Roman"/>
                      <w:b w:val="0"/>
                      <w:bCs w:val="0"/>
                      <w:i/>
                      <w:iCs/>
                      <w:smallCaps w:val="0"/>
                      <w:color w:val="000000"/>
                      <w:sz w:val="22"/>
                      <w:szCs w:val="22"/>
                      <w:bdr w:val="nil"/>
                      <w:rtl w:val="0"/>
                    </w:rPr>
                    <w:t>should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recorded as an odd amount (i.e., $649) so as to increase the appearance of greater 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some cases, the use of client estimates is acceptable (choice a.), but they should not give the appearance of certainty (choice d.). Questions can be left blank if their meaning is uncertain or the answer is not readily available or voluminous (choice b.). Withdrawal is not necessary if the error is not material or does not have a carryover effect on the current year return (choice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Both economic and 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tax treatment for accident and health plans provided for employees and financed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Disallowance of any deduction for expenditures deemed to be contrary to public policy (e.g., fines, penalties, illegal kickbacks, bribes to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credits, deductions, and exclusions that are designed to encourage taxpayers to obtain additional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state and local income taxes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credit for child care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excess capital losses to be carried over to other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accelerated amortization for the cost of installing pollution control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Federal income tax deduction for state and local sales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3"/>
              <w:gridCol w:w="6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Equity considerations justify choices b. and d., and economic considerations justify choice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domestic production activities deduction for certain manufacturing income can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mitigating the effect of the annual accounting period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economic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wherewithal to pay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9"/>
              <w:gridCol w:w="7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deduction will encourage U.S. manufacturing. It also will lead to job growth and discourage the outsourcing of labor to overseas.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Provisions in the tax law that promote energy conservation and more use of alternative (non-fossil) fuels can be justified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and social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Encouragement of small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Although it may be “good politics” to promote measures that ease the problem of global warming (choice a.), the real justification is economic (curtail dependence on foreign oil) and social (reduce pollution)—choice b. The encouragement of small business (choice d.) is a byproduct of these conservation provisions, but is not their justification.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mitigating the effect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Nonrecognition of gain allowed for involuntary conversions.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operating loss carryback and carryover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 over of excess charitable contributions.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the installment method to recognize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 over of excess capital losses.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9"/>
              <w:gridCol w:w="6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involuntary conversion provision is based on the wherewithal to pay concept (choice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of the tax law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promoting administrative feasibility (simplifying the task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Penalties are imposed for failure to file a return or pay a tax 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income is taxed in the year received and not in the year earned.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adjustments for indexation increases the amount of the standard deduction allowed.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Casualty losses must exceed 10% of AGI to be deductible.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is allowed for charitable contributions.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Choices a. through d. aid the IRS in administering the tax laws. Choice e., particularly when trying to value property contributions, will add to the audit effort required by the IRS.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A landlord leases property upon which the tenant makes improvements. The improvements are significant and are not made in lieu of rent. At the end of the lease, the value of the improvements are not income to the landlord. This rule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clear reflection of income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benefit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arm’s length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wherewithal to pay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613"/>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Taylor, a widow, makes cash gifts to her five married children (including their spouses) and to her seven grandchildren. What is the maximum amount Taylor can give for calen</w:t>
            </w:r>
            <w:r>
              <w:rPr>
                <w:rStyle w:val="DefaultParagraphFont"/>
                <w:rFonts w:ascii="Times New Roman" w:eastAsia="Times New Roman" w:hAnsi="Times New Roman" w:cs="Times New Roman"/>
                <w:b w:val="0"/>
                <w:bCs w:val="0"/>
                <w:i w:val="0"/>
                <w:iCs w:val="0"/>
                <w:smallCaps w:val="0"/>
                <w:color w:val="000000"/>
                <w:sz w:val="22"/>
                <w:szCs w:val="22"/>
                <w:bdr w:val="nil"/>
                <w:rtl w:val="0"/>
              </w:rPr>
              <w:t>dar year 2017 witho</w:t>
            </w:r>
            <w:r>
              <w:rPr>
                <w:rStyle w:val="DefaultParagraphFont"/>
                <w:rFonts w:ascii="Times New Roman" w:eastAsia="Times New Roman" w:hAnsi="Times New Roman" w:cs="Times New Roman"/>
                <w:b w:val="0"/>
                <w:bCs w:val="0"/>
                <w:i w:val="0"/>
                <w:iCs w:val="0"/>
                <w:smallCaps w:val="0"/>
                <w:color w:val="000000"/>
                <w:sz w:val="22"/>
                <w:szCs w:val="22"/>
                <w:bdr w:val="nil"/>
                <w:rtl w:val="0"/>
              </w:rPr>
              <w:t>ut using her unified transfer tax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1"/>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$238,000</w:t>
                  </w:r>
                  <w:r>
                    <w:rPr>
                      <w:rStyle w:val="DefaultParagraphFont"/>
                      <w:rFonts w:ascii="Times New Roman" w:eastAsia="Times New Roman" w:hAnsi="Times New Roman" w:cs="Times New Roman"/>
                      <w:b w:val="0"/>
                      <w:bCs w:val="0"/>
                      <w:i w:val="0"/>
                      <w:iCs w:val="0"/>
                      <w:smallCaps w:val="0"/>
                      <w:color w:val="000000"/>
                      <w:sz w:val="22"/>
                      <w:szCs w:val="22"/>
                      <w:bdr w:val="nil"/>
                      <w:rtl w:val="0"/>
                    </w:rPr>
                    <w:t>. $14,000 (annual exclusion)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17 donees = $238,000.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tax y</w:t>
            </w:r>
            <w:r>
              <w:rPr>
                <w:rStyle w:val="DefaultParagraphFont"/>
                <w:rFonts w:ascii="Times New Roman" w:eastAsia="Times New Roman" w:hAnsi="Times New Roman" w:cs="Times New Roman"/>
                <w:b w:val="0"/>
                <w:bCs w:val="0"/>
                <w:i w:val="0"/>
                <w:iCs w:val="0"/>
                <w:smallCaps w:val="0"/>
                <w:color w:val="000000"/>
                <w:sz w:val="22"/>
                <w:szCs w:val="22"/>
                <w:bdr w:val="nil"/>
                <w:rtl w:val="0"/>
              </w:rPr>
              <w:t>ear 2017,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Noah reported gross income of $300,000 on his timely filed Federal income tax return.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Presuming the general rule applies, when does the statute of limitations on assessments normally expire?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Noah inadvertently omitted gross income of $76,000. When does the statute of limitations on assessments expire?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omission was deliberate and not inadvertent. When does the statute of limitations on assessments expire?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7"/>
              <w:gridCol w:w="6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07"/>
                    <w:gridCol w:w="6141"/>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A</w:t>
                        </w:r>
                        <w:r>
                          <w:rPr>
                            <w:rStyle w:val="DefaultParagraphFont"/>
                            <w:rFonts w:ascii="Times New Roman" w:eastAsia="Times New Roman" w:hAnsi="Times New Roman" w:cs="Times New Roman"/>
                            <w:b w:val="0"/>
                            <w:bCs w:val="0"/>
                            <w:i w:val="0"/>
                            <w:iCs w:val="0"/>
                            <w:smallCaps w:val="0"/>
                            <w:color w:val="000000"/>
                            <w:sz w:val="22"/>
                            <w:szCs w:val="22"/>
                            <w:bdr w:val="nil"/>
                            <w:rtl w:val="0"/>
                          </w:rPr>
                          <w:t>pril 16, 2018.</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more than 25% of gross income is omitted, a six-year statute applies (i.e., 6 years from April </w:t>
                        </w:r>
                        <w:r>
                          <w:rPr>
                            <w:rStyle w:val="DefaultParagraphFont"/>
                            <w:rFonts w:ascii="Times New Roman" w:eastAsia="Times New Roman" w:hAnsi="Times New Roman" w:cs="Times New Roman"/>
                            <w:b w:val="0"/>
                            <w:bCs w:val="0"/>
                            <w:i w:val="0"/>
                            <w:iCs w:val="0"/>
                            <w:smallCaps w:val="0"/>
                            <w:color w:val="000000"/>
                            <w:sz w:val="22"/>
                            <w:szCs w:val="22"/>
                            <w:bdr w:val="nil"/>
                            <w:rtl w:val="0"/>
                          </w:rPr>
                          <w:t>16, 2018). Here,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it does as $76,000 is more than $75,000 (25%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fraud is involved, the statute never expires.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93"/>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Without obtaining an extension, Pam files her income tax return 55 days after the due date. With her return, she pays an additional tax of $60,000. Disregarding any interest element, what is Pam’s penalty for failure to pay and to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1"/>
              <w:gridCol w:w="7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$6,000</w:t>
                  </w:r>
                  <w:r>
                    <w:rPr>
                      <w:rStyle w:val="DefaultParagraphFont"/>
                      <w:rFonts w:ascii="Times New Roman" w:eastAsia="Times New Roman" w:hAnsi="Times New Roman" w:cs="Times New Roman"/>
                      <w:b w:val="0"/>
                      <w:bCs w:val="0"/>
                      <w:i w:val="0"/>
                      <w:iCs w:val="0"/>
                      <w:smallCaps w:val="0"/>
                      <w:color w:val="000000"/>
                      <w:sz w:val="22"/>
                      <w:szCs w:val="22"/>
                      <w:bdr w:val="nil"/>
                      <w:rtl w:val="0"/>
                    </w:rPr>
                    <w:t>. Disregarding the interest element, Pam’s total penalties are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140" w:type="dxa"/>
                    <w:jc w:val="left"/>
                    <w:tblBorders>
                      <w:top w:val="nil"/>
                      <w:left w:val="nil"/>
                      <w:bottom w:val="nil"/>
                      <w:right w:val="nil"/>
                      <w:insideH w:val="nil"/>
                      <w:insideV w:val="nil"/>
                    </w:tblBorders>
                    <w:tblCellMar>
                      <w:top w:w="0" w:type="dxa"/>
                      <w:left w:w="0" w:type="dxa"/>
                      <w:bottom w:w="0" w:type="dxa"/>
                      <w:right w:w="0" w:type="dxa"/>
                    </w:tblCellMar>
                  </w:tblPr>
                  <w:tblGrid>
                    <w:gridCol w:w="671"/>
                    <w:gridCol w:w="4607"/>
                    <w:gridCol w:w="909"/>
                    <w:gridCol w:w="953"/>
                  </w:tblGrid>
                  <w:tr>
                    <w:tblPrEx>
                      <w:tblW w:w="714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3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Failure to pay penalty (0.5%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months)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600</w:t>
                        </w:r>
                      </w:p>
                    </w:tc>
                  </w:tr>
                  <w:tr>
                    <w:tblPrEx>
                      <w:tblW w:w="7140" w:type="dxa"/>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w:t>
                        </w:r>
                      </w:p>
                    </w:tc>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Failure to file penalty (5%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months)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 </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140" w:type="dxa"/>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failure to pay penalty for same period</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(600)</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5,400</w:t>
                        </w:r>
                      </w:p>
                    </w:tc>
                  </w:tr>
                  <w:tr>
                    <w:tblPrEx>
                      <w:tblW w:w="7140" w:type="dxa"/>
                      <w:jc w:val="left"/>
                      <w:tblCellMar>
                        <w:top w:w="0" w:type="dxa"/>
                        <w:left w:w="0" w:type="dxa"/>
                        <w:bottom w:w="0" w:type="dxa"/>
                        <w:right w:w="0" w:type="dxa"/>
                      </w:tblCellMar>
                    </w:tblPrEx>
                    <w:trPr>
                      <w:cantSplit w:val="0"/>
                      <w:jc w:val="left"/>
                    </w:trPr>
                    <w:tc>
                      <w:tcPr>
                        <w:tcW w:w="53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penalties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noWrap w:val="0"/>
                        <w:tcMar>
                          <w:top w:w="0" w:type="dxa"/>
                          <w:left w:w="0" w:type="dxa"/>
                          <w:bottom w:w="0" w:type="dxa"/>
                          <w:right w:w="0" w:type="dxa"/>
                        </w:tcMar>
                        <w:vAlign w:val="center"/>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$6,000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 </w:t>
            </w:r>
            <w:r>
              <w:rPr>
                <w:rStyle w:val="DefaultParagraphFont"/>
                <w:rFonts w:ascii="Times New Roman" w:eastAsia="Times New Roman" w:hAnsi="Times New Roman" w:cs="Times New Roman"/>
                <w:b w:val="0"/>
                <w:bCs w:val="0"/>
                <w:i w:val="0"/>
                <w:iCs w:val="0"/>
                <w:smallCaps w:val="0"/>
                <w:color w:val="000000"/>
                <w:sz w:val="22"/>
                <w:szCs w:val="22"/>
                <w:bdr w:val="nil"/>
                <w:rtl w:val="0"/>
              </w:rPr>
              <w:t>his 2017 income tax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return, Andrew omitted income and overstated deductions to the extent that his income tax was understated by $500,000. Disregarding any interest element, what is Andrew’s penalty if the understatement was due to: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Negligence.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Civil fraud.</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6"/>
              <w:gridCol w:w="6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59"/>
                    <w:gridCol w:w="6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$100,000 (20%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$375,000 (75%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fines and/or prison sentence.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years ago, Logan purchased extra grazing land for his ranch at a cost of $240,</w:t>
            </w:r>
            <w:r>
              <w:rPr>
                <w:rStyle w:val="DefaultParagraphFont"/>
                <w:rFonts w:ascii="Times New Roman" w:eastAsia="Times New Roman" w:hAnsi="Times New Roman" w:cs="Times New Roman"/>
                <w:b w:val="0"/>
                <w:bCs w:val="0"/>
                <w:i w:val="0"/>
                <w:iCs w:val="0"/>
                <w:smallCaps w:val="0"/>
                <w:color w:val="000000"/>
                <w:sz w:val="22"/>
                <w:szCs w:val="22"/>
                <w:bdr w:val="nil"/>
                <w:rtl w:val="0"/>
              </w:rPr>
              <w:t>000. In 2017,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land is condemned by the state for development as a highway maintenance depot. Under the condemnation award, Logan receives $600,000 for the land. Within the same year, he replaces the property with other grazing land. What is Logan’s tax situation if the replacement land cost: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$210,000?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$630,000?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7"/>
              <w:gridCol w:w="6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56"/>
                    <w:gridCol w:w="6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full realized gain of $360,000 [$600,000 (condemnation proceeds) – $240,000 (cost of land)] must be recognized, as only $210,000 was reinvested. The condemnation proceeds of $600,000 exceed the amount reinvested by more than $360,000.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 only $360,000 was reinvested in replacement property, $240,000 ($600,000 – $360,000) of the gain must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full $600,000 was reinvested, no realized gain need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some of the gain is not reinvested, consistent with the wherewithal to pay concept, there exists the ability to pay the tax. Thus, gain is recognized to the extent the proceeds are not reinvested.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Paige is the sole shareholder of Citron Corporation. During the year, Paige leases a building to Citron for a monthly rental of $80,000. If the fair rental value of the building is $60,000, what are the income tax consequences to the parties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rent charged by Paige is not “arms length”; as such, Citron Corporation’s rent deduction is $60,000 (not $80,000). The $20,000 difference is a nondeductible dividend distribution. For Paige, the change merely requires reclassification. Instead of $80,000 of rent income, she has $60,000 of rent income and $20,000 of dividend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In 1986, Roy leased real estate to Drab Corporation for 20 years. Drab Corporation made significant capital improvements to the property. In 2006, Drab decides not to renew the lease and vacates the property. At that time, the value of the improvements is $800,000. Roy sells the real estate in 2017 for $1,200,000 of which $900,000 is attributable to the improvements. When is Roy taxed on the improvements made by Drab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Roy is not subject to taxation on the improvements until he disposes of the property (i.e., </w:t>
                  </w:r>
                  <w:r>
                    <w:rPr>
                      <w:rStyle w:val="DefaultParagraphFont"/>
                      <w:rFonts w:ascii="Times New Roman" w:eastAsia="Times New Roman" w:hAnsi="Times New Roman" w:cs="Times New Roman"/>
                      <w:b w:val="0"/>
                      <w:bCs w:val="0"/>
                      <w:i w:val="0"/>
                      <w:iCs w:val="0"/>
                      <w:smallCaps w:val="0"/>
                      <w:color w:val="000000"/>
                      <w:sz w:val="22"/>
                      <w:szCs w:val="22"/>
                      <w:bdr w:val="nil"/>
                      <w:rtl w:val="0"/>
                    </w:rPr>
                    <w:t>2017). After a controversial Supreme Court decision years ago, Congress clarified the tax law to make it more consistent with the wherewithal to pay conc</w:t>
                  </w:r>
                  <w:r>
                    <w:rPr>
                      <w:rStyle w:val="DefaultParagraphFont"/>
                      <w:rFonts w:ascii="Times New Roman" w:eastAsia="Times New Roman" w:hAnsi="Times New Roman" w:cs="Times New Roman"/>
                      <w:b w:val="0"/>
                      <w:bCs w:val="0"/>
                      <w:i w:val="0"/>
                      <w:iCs w:val="0"/>
                      <w:smallCaps w:val="0"/>
                      <w:color w:val="000000"/>
                      <w:sz w:val="22"/>
                      <w:szCs w:val="22"/>
                      <w:bdr w:val="nil"/>
                      <w:rtl w:val="0"/>
                    </w:rPr>
                    <w:t>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1-08 - LO: 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is based on a pay-as-you-go system and has become a “mass tax.” Explain this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pay-as-you-go system is present in the wage and other withholding procedures. In the case of self-employed persons, it is manifested in the required quarterly payments for estimated taxes. The income tax became a mass tax during World War II when its coverage was extended to 74% of the population (from less than 6% in 1939).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1-02 - LO: 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terms of Adam Smith’s canons of taxation, how does the Federal income tax fare as far as </w:t>
            </w:r>
            <w:r>
              <w:rPr>
                <w:rStyle w:val="DefaultParagraphFont"/>
                <w:rFonts w:ascii="Times New Roman" w:eastAsia="Times New Roman" w:hAnsi="Times New Roman" w:cs="Times New Roman"/>
                <w:b w:val="0"/>
                <w:bCs w:val="0"/>
                <w:i/>
                <w:iCs/>
                <w:smallCaps w:val="0"/>
                <w:color w:val="000000"/>
                <w:sz w:val="22"/>
                <w:szCs w:val="22"/>
                <w:bdr w:val="nil"/>
                <w:rtl w:val="0"/>
              </w:rPr>
              <w:t>economy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concerned?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is present only if the collection procedure of the IRS is considered. Economy is not present, however, if the focus is on taxpayer compliance effort and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1-03 - LO: 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the population change, the Goose Creek School District has decided to close one of its high schools. Since it has no further need of the property, the school is listed for sale. The two bids it receives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1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Methodist Church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$1,700,000</w:t>
                  </w:r>
                </w:p>
              </w:tc>
            </w:tr>
            <w:tr>
              <w:tblPrEx>
                <w:jc w:val="left"/>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Planet Motors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Methodist Church would use the property to establish a sectarian middle school. Planet, a well-known car dealership, would revamp the property and operate it as a branch location.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 member of the School District board, what factors would you consider in evaluating the two bids?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Although the bid from the United Methodist Church is higher, several other factors need to be considered. Does, for example, Goose Creek School district exempt property owned by churches from its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If so, losing this property from the tax base could prove very costly over the long run. Also, it is probable that income-producing property (such as a car dealership) would be taxed at a higher rate than that owned by a nonprofit organization (a school operated by a church). This assumes, of course, that the school would be taxed at all. The auto dealership also would generate sales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Morgan inherits her father’s personal residence including all of the furnishings. She plans to add a swimming pool and sauna to the property and rent it as a furnished house. What are some of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problems Morgan can anticipate?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real estate taxes probably will increase for several reasons. The capital improvements and the conversion from residential to rental will trigger the increase. Furthermore, the furnishings may generate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 (Depending on applicable law, furniture might not be subject to tax unless used for business purposes—such as in this 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2015, Deborah became 65 years old. In 2016 she added a swimming pool, and in 2017 she converted the residence to rental property and moved into an assisted living facility. Since 2014, Deborah’s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have decreased o</w:t>
            </w:r>
            <w:r>
              <w:rPr>
                <w:rStyle w:val="DefaultParagraphFont"/>
                <w:rFonts w:ascii="Times New Roman" w:eastAsia="Times New Roman" w:hAnsi="Times New Roman" w:cs="Times New Roman"/>
                <w:b w:val="0"/>
                <w:bCs w:val="0"/>
                <w:i w:val="0"/>
                <w:iCs w:val="0"/>
                <w:smallCaps w:val="0"/>
                <w:color w:val="000000"/>
                <w:sz w:val="22"/>
                <w:szCs w:val="22"/>
                <w:bdr w:val="nil"/>
                <w:rtl w:val="0"/>
              </w:rPr>
              <w:t>nce and increased twice.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decrease probably came in 2015 when Deborah reached age 65. The increases probably occurred in 2016 when she added the pool and in 2017 when the residence was converted to rental property with the property reassessed due to change in use and/or removal of the homestead exemption.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5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A lack of compliance in the payment of use taxes can be resolved by several means. In this regard, comment on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8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Registration of automobiles.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of Internet purchases on state income tax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9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9420" w:type="dxa"/>
                    <w:jc w:val="left"/>
                    <w:tblBorders>
                      <w:top w:val="nil"/>
                      <w:left w:val="nil"/>
                      <w:bottom w:val="nil"/>
                      <w:right w:val="nil"/>
                      <w:insideH w:val="nil"/>
                      <w:insideV w:val="nil"/>
                    </w:tblBorders>
                    <w:tblCellMar>
                      <w:top w:w="0" w:type="dxa"/>
                      <w:left w:w="0" w:type="dxa"/>
                      <w:bottom w:w="0" w:type="dxa"/>
                      <w:right w:w="0" w:type="dxa"/>
                    </w:tblCellMar>
                  </w:tblPr>
                  <w:tblGrid>
                    <w:gridCol w:w="435"/>
                    <w:gridCol w:w="8985"/>
                  </w:tblGrid>
                  <w:tr>
                    <w:tblPrEx>
                      <w:tblW w:w="942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 reflected in Example 5, re-registration of a car purchased out-of-state is the occasion for the owner’s home state to collect the use tax.</w:t>
                        </w:r>
                      </w:p>
                    </w:tc>
                  </w:tr>
                  <w:tr>
                    <w:tblPrEx>
                      <w:tblW w:w="9420" w:type="dxa"/>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Completing the state income tax return reminds (or forces) the taxpayer to pay use tax on out-of-state-purchases.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79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pros and cons of the following state and local tax provisions?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29"/>
              <w:gridCol w:w="8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holiday made available to a manufacturing plant that is relocating.</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 and a rental car surcharge.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back-to-school sales tax holiday.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365" w:type="dxa"/>
                    <w:jc w:val="left"/>
                    <w:tblBorders>
                      <w:top w:val="nil"/>
                      <w:left w:val="nil"/>
                      <w:bottom w:val="nil"/>
                      <w:right w:val="nil"/>
                      <w:insideH w:val="nil"/>
                      <w:insideV w:val="nil"/>
                    </w:tblBorders>
                    <w:tblCellMar>
                      <w:top w:w="0" w:type="dxa"/>
                      <w:left w:w="0" w:type="dxa"/>
                      <w:bottom w:w="0" w:type="dxa"/>
                      <w:right w:w="0" w:type="dxa"/>
                    </w:tblCellMar>
                  </w:tblPr>
                  <w:tblGrid>
                    <w:gridCol w:w="404"/>
                    <w:gridCol w:w="6961"/>
                  </w:tblGrid>
                  <w:tr>
                    <w:tblPrEx>
                      <w:tblW w:w="73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Such a holiday is designed to attract new industry to the area. This means more jobs and growth in consumption. On the other hand, if the tax holiday is too generous, this places a strain on available public revenue. The result could be that schools and capital maintenance (roads, public services) will suffer.</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hotel occupancy tax and car rental surcharges are popular because they mainly impact visitors. Also, they can generate considerable revenue to finance major capital improvements. If these taxes become excessive, however, they could discourage major events (such as conventions).</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Such holidays are very popular with both merchants and consumers and serve the social need of defraying some of the costs of sending children to school. Once established, however, they are difficult to get rid of. Thus, they become an annual drain on sales tax revenue.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severance tax? How productive can it be in terms of generating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severance tax is one imposed when natural resources (e.g., oil, gas, iron ore, coal) are extracted. It is based on the notion that the state has an interest in such resources. For some states, the revenue from severance taxes can be significant. Alaska, for example, relies heavily on its severance taxes and has been able to avoid both a state income tax and a general sales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an inheritance tax and an estate tax? Who imposes these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the right to receive property from a decedent. An estate tax is imposed on the right to pass property at death. The Federal government imposes estate taxes, while states impose inheritance taxes. Some states impose both, while others impose neither.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Logan dies with an estate worth $20 million. Under his will, $10 million passes to his wife while $10 million goes to his church. What is Logan’s Federal estate tax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9"/>
              <w:gridCol w:w="68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After a marital deduction of $10 million and a charitable deduction of $10 million, Logan’s taxable estate is $0.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With regard to state income taxes, explain what is meant by the “jock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states have a right to levy an income tax on all nonresidents who earn income within the state, they usually do so only on highly paid visitors. Such persons are often athletes, hence the designation of “jock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Virtually all state income tax returns contain checkoff boxes for donations to various causes. On what grounds has this procedure been criticized?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many cases the procedure is overused (i.e., a multiplicity of boxes). This overuse adds complexity to the return. Also, in most cases the donation is being drawn from any income tax refund that might be due. Thus, taxpayers may not fully appreciate that they are paying for such checkoffs.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and local governments are sometimes forced to find ways to generate additional revenue. Comment on the pros and cons of the following procedures: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Decouple what would be part of the piggyback format of the state income tax.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shaming.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63"/>
                    <w:gridCol w:w="6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decoupling process is easily accomplished as to new Federal tax changes that have never taken effect at the state level. Taxpayers are not apt to miss what they never have enjoyed.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 generate considerable revenue. It also unmasks many taxpayers who have not previously paid taxes. Now that the taxing jurisdiction is aware of their existence, they will tend to pay taxes in the future.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By use of a public Web site, the taxing authority posts the names of those taxpayers that are delinquent as to various taxes (e.g., sales, income). This public humiliation (or threat of) very often results in compliance.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Briana lives in one state and works in the adjoining state. Both states tax the income she earns from her job. Does Briana have any relief from this apparent double taxation of the same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allow their residents some form of tax credit for the income taxes paid to other states. In Briana’s case, the credit would be allowed by the state where she lives for the taxes paid to the state where she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In late Jun</w:t>
            </w:r>
            <w:r>
              <w:rPr>
                <w:rStyle w:val="DefaultParagraphFont"/>
                <w:rFonts w:ascii="Times New Roman" w:eastAsia="Times New Roman" w:hAnsi="Times New Roman" w:cs="Times New Roman"/>
                <w:b w:val="0"/>
                <w:bCs w:val="0"/>
                <w:i w:val="0"/>
                <w:iCs w:val="0"/>
                <w:smallCaps w:val="0"/>
                <w:color w:val="000000"/>
                <w:sz w:val="22"/>
                <w:szCs w:val="22"/>
                <w:bdr w:val="nil"/>
                <w:rtl w:val="0"/>
              </w:rPr>
              <w:t>e 2017, Ar</w:t>
            </w:r>
            <w:r>
              <w:rPr>
                <w:rStyle w:val="DefaultParagraphFont"/>
                <w:rFonts w:ascii="Times New Roman" w:eastAsia="Times New Roman" w:hAnsi="Times New Roman" w:cs="Times New Roman"/>
                <w:b w:val="0"/>
                <w:bCs w:val="0"/>
                <w:i w:val="0"/>
                <w:iCs w:val="0"/>
                <w:smallCaps w:val="0"/>
                <w:color w:val="000000"/>
                <w:sz w:val="22"/>
                <w:szCs w:val="22"/>
                <w:bdr w:val="nil"/>
                <w:rtl w:val="0"/>
              </w:rPr>
              <w:t>t is audited by the state and a large deficiency is assessed. In November of the same year, his Federal income tax return is audited by the IRS. What has probably happened?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IRS has been notified by the state concerning the results of the June audit.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Two months after the burglary of his personal residence, Eric is audited by the IRS. Among the items taken in the burglary was a shoe box containing approximately $50,000 in cash. Eric is the owner and operator of a cash-and-carry liquor store. Eric wonders why he was audited. Can you help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Eric’s audit by the IRS could be the result of sheer chance, this appears unlikely. Press coverage of the burglary, particularly if the items stolen were enumerated, could have put the IRS on notice. Why would anyone keep such a large amount of cash at his personal residence? Also, Eric is in a business where tax evasion is easily accomplished.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Rick, the sole proprietor of an adult entertainment club, is audited by the IRS. On the third day of the field audit, the regular IRS agent is accompanied by a special agent. Should Rick be concerned by this new development?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he should. Special agents rarely appear during an audit unless the regular agent suspects that fraud may be involved. Considering the type of business Rick conducts, the heavy use of cash probably exists. With cash involved, tax evasion is easier to carry 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Tracy has just been audited and the IRS agent has issued an RAR that assesses a large deficiency. Since Tracy disagrees with the result, her next step is to go to court. Do you agree?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Tracy might save herself time and expense by going to the Appeals Division of the IRS. Here, the IRS has the authority to negotiate a settlement based on the “hazards of litigation” (i.e., the probabilities of winning or losing). If a settlement is reached, resort to the courts is avoided.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Brayden files his Federal income tax return by April 15, but does not pay the tax. Although he expects to pay interest on the large amount of tax he still owes, he feels that the timely filing has avoided any penalties. Is Brayden’s assumption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Brayden has avoided the failure to file penalty, the failure to pay penalty will apply. It is 0.5% per month up to a maximum of 25% of the tax due as shown on the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Melinda </w:t>
            </w:r>
            <w:r>
              <w:rPr>
                <w:rStyle w:val="DefaultParagraphFont"/>
                <w:rFonts w:ascii="Times New Roman" w:eastAsia="Times New Roman" w:hAnsi="Times New Roman" w:cs="Times New Roman"/>
                <w:b w:val="0"/>
                <w:bCs w:val="0"/>
                <w:i w:val="0"/>
                <w:iCs w:val="0"/>
                <w:smallCaps w:val="0"/>
                <w:color w:val="000000"/>
                <w:sz w:val="22"/>
                <w:szCs w:val="22"/>
                <w:bdr w:val="nil"/>
                <w:rtl w:val="0"/>
              </w:rPr>
              <w:t>has been referred to you by one of your clients. In the past, she has prepared her own income tax returns, but she has become overwhelmed by the increased complexity of the tax law. Consequently, Melinda wants you to prepare her return for calendar year 2017. In reviewing her 2016 return, you note that she has claimed as a deduction the entire cost of a business building that should have been capitalized and depreciated. What course of action should you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recommend to Melinda that an amended return be filed for 2016 correcting the error. If she refuses, you should assess the gravity of the error and how it impacts on your ability to file an accurate return for 2017. If you cannot do so, then you must decline the engagement.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Ethics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Your client, Connie, won $12,000 in a football office pool. She sees no reason to include it in her income for several reasons. First, the amount won will not be reported to the IRS. Second, as an average income employee, she is unlikely to be audited by the IRS. Third, she feels that she has probably lost this much in other past office pools. How do you respond?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practitioner, you cannot play the audit lottery. You must presume she will be audited irrespective of the probabilities. Although the use of estimates is allowed, Connie’s assumptions as to her losses are not realistic. Even if they were reliable, gambling losses cannot be offset against gambling winnings but must be separately deducted. Thus, the $12,000 must be reported as income or you cannot prepare Connie’s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Ethics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conditions is it permissible, from an ethical standpoint, for a CPA firm to outsource tax return preparation to a third party?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the clients’ confidentiality must be preserved. Second, the CPA firm must verify the accuracy of the work. Third, the clients must be advised as to the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1-06 - LO: 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Ethics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FN-Reporting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revenue neutrality, comment on a tax cut enacted by Congress that: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contains revenue offsets.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a sunset provision.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91"/>
                    <w:gridCol w:w="6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Ideally, to achieve revenue neutrality all tax cuts should be accompanied by revenue offsets.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 sunset provision does not account for the immediate revenue losses generated by a tax cut. It merely provides that such losses will not continue beyond a specified date when the tax cut expires and the former tax law is reinstated.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tax credits, deductions, and exclusions that are designed to encourage taxpayers to obtain additional education. On what grounds can these provisions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considerations. As to the latter, a better educated workforce carries a positive economic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provisions that encourage home ownership.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 what basis can this objective be justified?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there any negative considerations? Explain.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5"/>
                    <w:gridCol w:w="6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Home ownership can be justified on economic and social grounds.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Granting tax advantages to persons who are purchasing their homes places the taxpayers who rent at a disadvantage. The result is inequality in treatment.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an income tax deduction (or a credit) for foreign income taxes. Explain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deduction (or a credit) for foreign income taxes can be justified on the grounds that it mitigates the double tax imposed on the same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under certain conditions, deferral of gain recognition for involuntary conversions.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justification for this relief measure?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if the proceeds are not entirely reinvested?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3"/>
                    <w:gridCol w:w="6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By recognizing that the taxpayer’s relative economic situation has not changed and that he or she lacks the wherewithal to pay a tax, any recognition of realized gain is deferred.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proceeds from an involuntary conversion are not fully reinvested in property that is similar or related in service or use, recognized gain results. Such recognized gain cannot exceed realized gain and will be limited to the amount of the proceeds not reinvested. Recognition is based on the notion that the taxpayer now has the wherewithal to pay the tax that results.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the net operating loss provisions in the tax law mitigate the effect of the annual accounting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Without the allowance of carryback and/or carryover provisions that apply the excess losses to profitable years, the losses would disappear. As shown by Example 24, this result places a business with profit and loss fluctuations on a more level playing field with one that maintains a stable income pattern.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91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connection with facilitating the function of the IRS in the administration of the tax laws, comment on the utility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8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and percentage limitations on the deduction of personal casualty losses.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interest and penalties for taxpayer noncompliance.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485" w:type="dxa"/>
                    <w:jc w:val="left"/>
                    <w:tblBorders>
                      <w:top w:val="nil"/>
                      <w:left w:val="nil"/>
                      <w:bottom w:val="nil"/>
                      <w:right w:val="nil"/>
                      <w:insideH w:val="nil"/>
                      <w:insideV w:val="nil"/>
                    </w:tblBorders>
                    <w:tblCellMar>
                      <w:top w:w="0" w:type="dxa"/>
                      <w:left w:w="0" w:type="dxa"/>
                      <w:bottom w:w="0" w:type="dxa"/>
                      <w:right w:w="0" w:type="dxa"/>
                    </w:tblCellMar>
                  </w:tblPr>
                  <w:tblGrid>
                    <w:gridCol w:w="400"/>
                    <w:gridCol w:w="7085"/>
                  </w:tblGrid>
                  <w:tr>
                    <w:tblPrEx>
                      <w:tblW w:w="74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 reduces the number of</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taxpayers who choose to itemize their personal deductions. This, in turn, cuts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down on the deductions the IRS has to check.</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Limitations placed on casualty and theft losses curtail the number of taxpayers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who can claim the deduction.</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imposition of extra penalties, in addition to the tax owed, definitely deters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noncompliance.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1-08 - LO: 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reacts to judicial decisions that interpret the tax law in different ways. When it approves of a decision, Congress may act to amend the Code to incorporate the holding. When it disapproves, Congress may amend the Code to nullify its effect. Give an example of each one of these congressional reactions.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approved of the judicial conclusion that most stock dividends should be nontaxable and amended the Code to this effect. However, it disagreed as to when leasehold improvements should be taxed to a lessor. Consistent with the wherewithal to pay concept, the improvements are to be taxed on the termination of the lease. Thus, Congress overturned a judicial holding that would have taxed such improvements in the year they are made by the lessee.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1-08 - LO: 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2"/>
                      <w:szCs w:val="22"/>
                      <w:bdr w:val="nil"/>
                      <w:rtl w:val="0"/>
                    </w:rPr>
                    <w:t>United States - AK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statements that relate to each other. Note: Some choices may be used more than once or not at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5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Deferral of gains from involuntary conversions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Carryback and carryforward of net operating losses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change” is one possible result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income tax applied to visiting nonresident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 special agent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Undoing the “piggyback” result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Ideal budget goal as to new tax legislation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state that has a general sales tax has one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by all states and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by some states but not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only by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correct match provided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1-04 - LO: 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2"/>
                      <w:szCs w:val="22"/>
                      <w:bdr w:val="nil"/>
                      <w:rtl w:val="0"/>
                    </w:rPr>
                    <w:t>United States - AK - AICPA: FN-Reporting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Jock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Decoupling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Discriminant Index Function (DIF)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Tax fraud suspected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neutrality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Agent's Report (RAR)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Mitigation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Tax on transfers at death (inheritance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Excise tax on tobacco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amnesty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Import taxes (customs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“Pay-as-you-go” (paygo)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Export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Using the choices provided below, show the justification for each provision of the tax law listed.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1"/>
              <w:gridCol w:w="6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1-07 - LO: 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TX - AICPA: FN Measurment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credit for amounts spent to furnish care for children while the parent is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depreciation deduction allowed for the year the asset is acquired.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Tax brackets are increased for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business corporation can elect to avoid the corporate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contributions by an employee to certain retirement plans.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qualified tuition paid to obtain higher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certain expenses (interest and taxes) incident to home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income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certain income from manufacturing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A bribe to the local sheriff, although business related, is not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to charitable organizations are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sales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available for the purchase of a vehicle that uses alternative (non-fossil) fuels.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for home improvements that conserve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More rapid expensing for tax purposes of the costs of installing pollution control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statements that relate to each other. Note: Some choices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years from date return is filed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years from due date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of underpayment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per month (25% limit)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 per month (25% limit)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Conducted at IRS office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Conducted at taxpayer’s office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45-day grace period allowed to IRS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statute of limitations (period remains open)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of underpayment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correct match provided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Office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Field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file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pay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Negligence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fraud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Fraud and statute of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filing and statute of limitations (deficiency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Late filing and statute limitations (deficiency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No return and statute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25% gross income omission and statute of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due on refund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Can a taxpayer start the 3-year statute of limitations on additional assessments by the IRS by filing his income tax return early (i.e., before the due date)? Can the period be shortened by filing late (i.e., after the due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8"/>
              <w:gridCol w:w="7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answer is </w:t>
                  </w:r>
                  <w:r>
                    <w:rPr>
                      <w:rStyle w:val="DefaultParagraphFont"/>
                      <w:rFonts w:ascii="Times New Roman" w:eastAsia="Times New Roman" w:hAnsi="Times New Roman" w:cs="Times New Roman"/>
                      <w:b w:val="0"/>
                      <w:bCs w:val="0"/>
                      <w:i/>
                      <w:iCs/>
                      <w:smallCaps w:val="0"/>
                      <w:color w:val="000000"/>
                      <w:sz w:val="22"/>
                      <w:szCs w:val="22"/>
                      <w:bdr w:val="nil"/>
                      <w:rtl w:val="0"/>
                    </w:rPr>
                    <w:t>no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both cases. When filing early, the statute starts to run on the due date of the return. When filing late however, the filing date controls.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CMPV.SWFT.LO: 1-05 - LO: 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AK - AICPA: FN-Risk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11/28/2016 3:10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5/11/2017 12:50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An Introduction To Taxation and Understanding the Federal Tax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Introduction To Taxation and Understanding the Federal Tax Law</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