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>
  <!--Powered by docx4j 6.0.1 (Apache licensed)-->
  <w:body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MULTIPLE CHOICE - Choose the one alternative that best completes the statement or answers the question.</w:t>
        <w:br/>
      </w: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The material wealth of a society is a function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all financial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all real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all financial and real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all physical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_______ are real assets.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Land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Machines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Stocks and bonds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Knowledge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Land, machines, and knowledge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The means by which individuals hold their claims on real assets in a well-developed economy are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investment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depository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derivative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financial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exchange-driven assets.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_______ are financial assets.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Bonds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Machines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Stocks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Bonds and stocks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Bonds, machines, and stocks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_________ financial asset(s).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Buildings 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Land is 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Derivatives 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U.S. agency bonds 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Derivatives and U.S. agency bonds 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Financial assets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directly contribute to the country's productive capacity.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indirectly contribute to the country's productive capacity.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contribute to the country's productive capacity, both directly and indirectly.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do not contribute to the country's productive capacity, either directly or indirectly.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are of no value to anyone.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 the most significant real asset of U.S. households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consumer durables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automobiles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real estate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mutual fund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bank loans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 the least significant financial asset of U.S. households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real estate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mutual fund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debt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life insurance reserves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pension reserves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 the most significant financial asset of U.S. households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real estate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mutual fund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debt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life insurance reserves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pension reserves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 the most significant asset of U.S. households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real estate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mutual fund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debt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life insurance reserves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pension reserves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were the most significant liability of U.S. households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credit cards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mortgages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bank loans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student loans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other forms of debt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which of the following financial assets make up the second highest proportion of the financial assets held by U.S. households?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Corporate equity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Life insurance reserves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Mutual fund shares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Debt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Personal trusts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 of the assets of U.S. households were financial assets as opposed to tangible assets.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23.5%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87.2%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28.4%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58.4%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71.6%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The largest component of domestic net worth in 2018 was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nonresidential real estate.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residential real estate.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inventories.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consumer durables.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equipment and software.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The smallest component of domestic net worth in 2018 was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nonresidential real estate.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residential real estate.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inventories.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consumer durables.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equipment and software.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The domestic net worth of the U.S. in 2018 was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$9.350 trillion.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$22.642 trillion.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$32.539 trillion.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$72.683 trillion.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$80.983 trillion.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A fixed-income security pays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fixed level of income for the life of the owner.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fixed stream of income or a stream of income that is determined according to a specified formula for the life of the security.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 variable level of income for owners on a fixed income.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 fixed or variable income stream at the option of the owner.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A debt security pays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fixed level of income for the life of the owner.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variable level of income for owners on a fixed income.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 fixed or variable income stream at the option of the owner.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 fixed stream of income or a stream of income that is determined according to a specified formula for the life of the security.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Money market securities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are short term.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are highly marketable.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are generally very low risk.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are highly marketable and are generally very low risk.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An example of a derivative security is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 common share of Microsoft.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 call option on Intel stock.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 commodity futures contract.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 call option on Intel stock and a commodity futures contract.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 common share of Microsoft and a call option on Intel stock.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The value of a derivative security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depends on the value of the related security.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is unable to be calculated.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is unrelated to the value of the related security.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has been enhanced due to the recent misuse and negative publicity regarding these instruments.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is worthless today.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Although derivatives can be used as speculative instruments, businesses most often use them to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attract customers.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appease stockholders.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offset debt.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hedge risks.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enhance their balance sheets.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Financial assets permit all of the following except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consumption timing.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allocation of risk.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separation of ownership and control.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elimination of risk.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The ____________ refers to the potential conflict between management and shareholders.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agency problem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diversification problem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liquidity problem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solvency problem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regulatory problem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A disadvantage of using stock options to compensate managers is that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it encourages managers to undertake projects that will increase stock price.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it encourages managers to engage in empire building.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it can create an incentive for managers to manipulate information to prop up a stock price temporarily, giving them a chance to cash out before the price returns to a level reflective of the firm's true prospects.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All of the above.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are mechanisms that have evolved to mitigate potential agency problems?   </w:t>
      </w:r>
      <w:r>
        <w:rPr>
          <w:rFonts w:ascii="Times New Roman"/>
          <w:b w:val="false"/>
          <w:i w:val="false"/>
          <w:color w:val="000000"/>
          <w:sz w:val="24"/>
        </w:rPr>
        <w:t>I) Using the firm's stock options for compensation</w:t>
      </w:r>
      <w:r>
        <w:rPr>
          <w:rFonts w:ascii="Times New Roman"/>
          <w:b w:val="false"/>
          <w:i w:val="false"/>
          <w:color w:val="000000"/>
          <w:sz w:val="24"/>
        </w:rPr>
        <w:t>II) Hiring bickering family members as corporate spies</w:t>
      </w:r>
      <w:r>
        <w:rPr>
          <w:rFonts w:ascii="Times New Roman"/>
          <w:b w:val="false"/>
          <w:i w:val="false"/>
          <w:color w:val="000000"/>
          <w:sz w:val="24"/>
        </w:rPr>
        <w:t>III) Boards of directors forcing out underperforming management</w:t>
      </w:r>
      <w:r>
        <w:rPr>
          <w:rFonts w:ascii="Times New Roman"/>
          <w:b w:val="false"/>
          <w:i w:val="false"/>
          <w:color w:val="000000"/>
          <w:sz w:val="24"/>
        </w:rPr>
        <w:t>IV) Security analysts monitoring the firm closely</w:t>
      </w:r>
      <w:r>
        <w:rPr>
          <w:rFonts w:ascii="Times New Roman"/>
          <w:b w:val="false"/>
          <w:i w:val="false"/>
          <w:color w:val="000000"/>
          <w:sz w:val="24"/>
        </w:rPr>
        <w:t>V) Takeover threats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II and 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I, III, and IV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I, III, IV, and 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III, IV, and 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I, III, and 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Corporate shareholders are best protected from incompetent management decisions by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the ability to engage in proxy fights.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management's control of pecuniary rewards.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ability to call shareholder meetings.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the threat of takeover by other firms.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one-share/one-vote election rules.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Theoretically, takeovers should result in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improved management.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increased stock price.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increased benefits to existing management of the taken-over firm.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improved management and increased stock price.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During the period between 2000 and 2002, a large number of scandals were uncovered. Most of these scandals were related to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I) manipulation of financial data to misrepresent the actual condition of the firm.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II) misleading and overly optimistic research reports produced by analysts.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III) allocating IPOs to executives as a quid pro quo for personal favors.  </w:t>
      </w:r>
      <w:r>
        <w:rPr>
          <w:rFonts w:ascii="Times New Roman"/>
          <w:sz w:val="24"/>
        </w:rPr>
        <w:br/>
      </w:r>
      <w:r>
        <w:rPr>
          <w:rFonts w:ascii="Times New Roman"/>
          <w:b w:val="false"/>
          <w:i w:val="false"/>
          <w:color w:val="000000"/>
          <w:sz w:val="24"/>
        </w:rPr>
        <w:t xml:space="preserve"> IV) greenmail.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 II, III, and IV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 I, II, and IV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 II and IV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 I, III, and IV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I, II, and III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The Sarbanes-Oxley Act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requires corporations to have more independent directors.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requires the firm's CFO to personally vouch for the firm's accounting statements.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prohibits auditing firms from providing other services to clients.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requires corporations to have more independent directors and requires the firm's CFO to personally vouch for the firm's accounting statements.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above.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Asset allocation refers to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choosing which securities to hold based on their valuation.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investing only in "safe" securities.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allocation of assets into broad asset classes.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bottom-up analysis.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Security selection refers to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choosing which securities to hold based on their valuation.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investing only in "safe" securities.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the allocation of assets into broad asset classes.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top-down analysis.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portfolio construction methods starts with security analysis?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Top-down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Bottom-up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Middle-out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Buy and hold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Asset allocation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portfolio construction methods starts with asset allocation?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Top-down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Bottom-up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Middle-out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Buy and hold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Asset allocation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_______ are examples of financial intermediaries.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Commercial banks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Insurance companies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Investment companies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Credit unions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Financial intermediaries exist because small investors cannot efficiently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diversify their portfolios.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assess credit risk of borrowers.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advertise for needed investments.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diversify their portfolios and assess credit risk of borrowers.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________ specialize in helping companies raise capital by selling securities.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Commercial bankers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Investment bankers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Investment issuers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Credit raters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Commercial banks differ from other businesses in that both their assets and their liabilities are mostly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illiquid.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financial.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owned by the government.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regulated.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was(were) the most significant financial asset(s) of U.S. commercial banks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loans and leases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cash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real estate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deposits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investment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was(were) the most significant liability(ies) of U.S. commercial banks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loans and leases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cash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real estate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deposits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investment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was(were) the most significant real asset(s) of U.S. nonfinancial businesses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equipment and software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inventory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real estate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trade credit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marketable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was(were) the least significant real asset(s) of U.S. nonfinancial businesses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equipment and software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inventory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real estate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trade credit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marketable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was(were) the least significant liability(ies) of U.S. nonfinancial businesses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bonds and mortgages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bank loans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inventories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trade debt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marketable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In terms of total value, the most significant liability(ies) of U.S. nonfinancial businesses in 2018 was(were)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bank loans.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bonds and mortgages.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trade debt.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other loans.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marketable securities.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>In 2018, ____________ was(were) the least significant financial asset(s) of U.S. nonfinancial businesses in terms of total value.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cash and deposits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trade credit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trade debt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inventory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marketable securities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New issues of securities are sold in the ________ market(s).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primary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secondary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over-the-counter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primary and secondary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Investors trade previously issued securities in the ________ market(s).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primary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secondary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primary and secondary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derivatives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Investment bankers perform which of the following role(s)?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Market new stock and bond issues for firms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Provide advice to the firms as to market conditions, price, etc.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Design securities with desirable properties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All of the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None of the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Until 1999, the ________ Act(s) prohibited banks in the United States from both accepting deposits and underwriting securities.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Sarbanes-Oxley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Glass-Steagall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SEC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Sarbanes-Oxley and SEC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None of the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The spread between the LIBOR and the Treasury-bill rate is called the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term spread.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T-bill spread.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LIBOR spread.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TED spread.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Mortgage-backed securities were created when ________ began buying mortgage loans from originators and bundling them into large pools that could be traded like any other financial asset.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GNMA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FNMA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FHLMC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FNMA and FHLMC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GNMA and FNMA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The sale of a mortgage portfolio by setting up mortgage pass-through securities is an example of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credit enhancement.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credit swap.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unbundling.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derivatives.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true about mortgage-backed securities?   </w:t>
      </w:r>
      <w:r>
        <w:rPr>
          <w:rFonts w:ascii="Times New Roman"/>
          <w:b w:val="false"/>
          <w:i w:val="false"/>
          <w:color w:val="000000"/>
          <w:sz w:val="24"/>
        </w:rPr>
        <w:t>I) They aggregate individual home mortgages into homogeneous pools.</w:t>
      </w:r>
      <w:r>
        <w:rPr>
          <w:rFonts w:ascii="Times New Roman"/>
          <w:b w:val="false"/>
          <w:i w:val="false"/>
          <w:color w:val="000000"/>
          <w:sz w:val="24"/>
        </w:rPr>
        <w:t>II) The purchaser receives monthly interest and principal payments received from payments made on the pool.</w:t>
      </w:r>
      <w:r>
        <w:rPr>
          <w:rFonts w:ascii="Times New Roman"/>
          <w:b w:val="false"/>
          <w:i w:val="false"/>
          <w:color w:val="000000"/>
          <w:sz w:val="24"/>
        </w:rPr>
        <w:t>III) The banks that originated the mortgages maintain ownership of them.</w:t>
      </w:r>
      <w:r>
        <w:rPr>
          <w:rFonts w:ascii="Times New Roman"/>
          <w:b w:val="false"/>
          <w:i w:val="false"/>
          <w:color w:val="000000"/>
          <w:sz w:val="24"/>
        </w:rPr>
        <w:t>IV) The banks that originated the mortgages may continue to service them.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II, III, and IV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I, II, and IV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II and IV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I, III, and IV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I, II, III, and IV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________ were designed to concentrate the credit risk of a bundle of loans on one class of investor, leaving the other investors in the pool relatively protected from that risk.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Stocks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Bonds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Derivatives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Collateralized debt obligations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________ are, in essence, an insurance contract against the default of one or more borrowers.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Credit default swaps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CMOs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ETFs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Collateralized debt obligations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The technology behind cryptocurrencies that is ideal for secure digital transactions is called ______________.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bitcoin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blockchain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distributed ledgers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ethereum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A major problem experienced by cryptocurrency, which makes it problematic to store value is _____________.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distributed ledgers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blockchain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price volatility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transaction security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Which country has banned initial coin offerings?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China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Germany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Japan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USA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The Economic Growth, Regulatory Relief and Consumer Protection Act of 2019 exempted smaller banks from which rule?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Liquidity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Reserves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Demand deposit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Volker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 All of the options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the Economic Growth, Regulatory Relief and Consumer Protection Act of 2019 many larger banks are no longer considered ________________.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 </w:t>
      </w:r>
      <w:r>
        <w:rPr>
          <w:rFonts w:ascii="Times New Roman"/>
          <w:b w:val="false"/>
          <w:i w:val="false"/>
          <w:color w:val="000000"/>
          <w:sz w:val="24"/>
        </w:rPr>
        <w:t>insurable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 </w:t>
      </w:r>
      <w:r>
        <w:rPr>
          <w:rFonts w:ascii="Times New Roman"/>
          <w:b w:val="false"/>
          <w:i w:val="false"/>
          <w:color w:val="000000"/>
          <w:sz w:val="24"/>
        </w:rPr>
        <w:t>high risk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 </w:t>
      </w:r>
      <w:r>
        <w:rPr>
          <w:rFonts w:ascii="Times New Roman"/>
          <w:b w:val="false"/>
          <w:i w:val="false"/>
          <w:color w:val="000000"/>
          <w:sz w:val="24"/>
        </w:rPr>
        <w:t>insolvent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 </w:t>
      </w:r>
      <w:r>
        <w:rPr>
          <w:rFonts w:ascii="Times New Roman"/>
          <w:b w:val="false"/>
          <w:i w:val="false"/>
          <w:color w:val="000000"/>
          <w:sz w:val="24"/>
        </w:rPr>
        <w:t>systematically important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 </w:t>
      </w:r>
      <w:r>
        <w:rPr>
          <w:rFonts w:ascii="Times New Roman"/>
          <w:b w:val="false"/>
          <w:i w:val="false"/>
          <w:color w:val="000000"/>
          <w:sz w:val="24"/>
        </w:rPr>
        <w:t>All of the options.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D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w16se="http://schemas.microsoft.com/office/word/2015/wordml/symex" xmlns:wps="http://schemas.microsoft.com/office/word/2010/wordprocessingShape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v="urn:schemas-microsoft-com:vml" xmlns:w10="urn:schemas-microsoft-com:office:word" xmlns:o="urn:schemas-microsoft-com:office:office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wne="http://schemas.microsoft.com/office/word/2006/wordml" xmlns:sl="http://schemas.openxmlformats.org/schemaLibrary/2006/main" xmlns:mc="http://schemas.openxmlformats.org/markup-compatibility/2006" xmlns:w15="http://schemas.microsoft.com/office/word/2012/wordml" xmlns:m="http://schemas.openxmlformats.org/officeDocument/2006/math" xmlns:wp14="http://schemas.microsoft.com/office/word/2010/wordprocessingDrawing" xmlns:a="http://schemas.openxmlformats.org/drawingml/2006/main" xmlns:wp="http://schemas.openxmlformats.org/drawingml/2006/wordprocessingDrawing"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?><Relationships xmlns="http://schemas.openxmlformats.org/package/2006/relationships"><Relationship Target="styles.xml" Type="http://schemas.openxmlformats.org/officeDocument/2006/relationships/styles" Id="rId1"></Relationship><Relationship Target="settings.xml" Type="http://schemas.openxmlformats.org/officeDocument/2006/relationships/settings" Id="rId2"></Relationship><Relationship Target="footer.xml" Type="http://schemas.openxmlformats.org/officeDocument/2006/relationships/footer" Id="rId3"></Relationship><Relationship Target="numbering.xml" Type="http://schemas.openxmlformats.org/officeDocument/2006/relationships/numbering" Id="rId4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dc="http://purl.org/dc/elements/1.1/" xmlns:dcterms="http://purl.org/dc/terms/" xmlns:cp="http://schemas.openxmlformats.org/package/2006/metadata/core-properties"/>
</file>

<file path=docProps/custom.xml><?xml version="1.0" encoding="utf-8"?>
<prop:Properties xmlns:prop="http://schemas.openxmlformats.org/officeDocument/2006/custom-properties" xmlns:vt="http://schemas.openxmlformats.org/officeDocument/2006/docPropsVTypes">
  <prop:property fmtid="{D5CDD505-2E9C-101B-9397-08002B2CF9AE}" pid="2" name="Copyright">
    <vt:lpwstr>Some content may be Copyright 2020, McGraw Hill LLC</vt:lpwstr>
  </prop:property>
</prop:Properties>
</file>