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178D6" w14:textId="77777777" w:rsidR="00BD66D0" w:rsidRPr="003D12AF" w:rsidRDefault="00BD66D0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/>
        <w:jc w:val="center"/>
        <w:rPr>
          <w:b/>
          <w:snapToGrid w:val="0"/>
          <w:sz w:val="22"/>
          <w:szCs w:val="22"/>
        </w:rPr>
      </w:pPr>
      <w:r w:rsidRPr="003D12AF">
        <w:rPr>
          <w:b/>
          <w:snapToGrid w:val="0"/>
          <w:sz w:val="22"/>
          <w:szCs w:val="22"/>
        </w:rPr>
        <w:t>CHAPTER 1</w:t>
      </w:r>
    </w:p>
    <w:p w14:paraId="3A65909F" w14:textId="77777777" w:rsidR="00BD66D0" w:rsidRPr="003D12AF" w:rsidRDefault="00BD66D0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/>
        <w:jc w:val="center"/>
        <w:rPr>
          <w:b/>
          <w:snapToGrid w:val="0"/>
          <w:sz w:val="22"/>
          <w:szCs w:val="22"/>
        </w:rPr>
      </w:pPr>
    </w:p>
    <w:p w14:paraId="6569E64C" w14:textId="77777777" w:rsidR="00BD66D0" w:rsidRPr="003D12AF" w:rsidRDefault="00BD66D0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/>
        <w:jc w:val="center"/>
        <w:rPr>
          <w:snapToGrid w:val="0"/>
          <w:sz w:val="22"/>
          <w:szCs w:val="22"/>
        </w:rPr>
      </w:pPr>
      <w:r w:rsidRPr="003D12AF">
        <w:rPr>
          <w:b/>
          <w:snapToGrid w:val="0"/>
          <w:sz w:val="22"/>
          <w:szCs w:val="22"/>
        </w:rPr>
        <w:t>THE INVESTMENT SETTING</w:t>
      </w:r>
    </w:p>
    <w:p w14:paraId="2AB4D6D7" w14:textId="77777777" w:rsidR="00BD66D0" w:rsidRPr="003D12AF" w:rsidRDefault="00BD66D0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/>
        <w:jc w:val="both"/>
        <w:rPr>
          <w:snapToGrid w:val="0"/>
          <w:sz w:val="22"/>
          <w:szCs w:val="22"/>
        </w:rPr>
      </w:pPr>
    </w:p>
    <w:p w14:paraId="5B98108C" w14:textId="77777777" w:rsidR="00BD66D0" w:rsidRPr="003D12AF" w:rsidRDefault="00BD66D0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288"/>
        <w:jc w:val="both"/>
        <w:rPr>
          <w:snapToGrid w:val="0"/>
          <w:sz w:val="22"/>
          <w:szCs w:val="22"/>
        </w:rPr>
      </w:pPr>
    </w:p>
    <w:p w14:paraId="73BFABBD" w14:textId="4DF0A09A" w:rsidR="00BD66D0" w:rsidRPr="003D12AF" w:rsidRDefault="001C5866" w:rsidP="002C373B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3D12AF">
        <w:rPr>
          <w:sz w:val="22"/>
          <w:szCs w:val="22"/>
        </w:rPr>
        <w:t>What is an</w:t>
      </w:r>
      <w:r w:rsidR="00BD66D0" w:rsidRPr="003D12AF">
        <w:rPr>
          <w:sz w:val="22"/>
          <w:szCs w:val="22"/>
        </w:rPr>
        <w:t xml:space="preserve"> Investment</w:t>
      </w:r>
    </w:p>
    <w:p w14:paraId="1B2C6C8C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88"/>
        <w:jc w:val="both"/>
        <w:rPr>
          <w:snapToGrid w:val="0"/>
          <w:sz w:val="22"/>
          <w:szCs w:val="22"/>
        </w:rPr>
      </w:pPr>
    </w:p>
    <w:p w14:paraId="124CE624" w14:textId="234E155B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 xml:space="preserve">Income streams and spending needs </w:t>
      </w:r>
      <w:r w:rsidR="001E49EA" w:rsidRPr="003D12AF">
        <w:rPr>
          <w:sz w:val="22"/>
          <w:szCs w:val="22"/>
        </w:rPr>
        <w:t xml:space="preserve">usually </w:t>
      </w:r>
      <w:r w:rsidRPr="003D12AF">
        <w:rPr>
          <w:sz w:val="22"/>
          <w:szCs w:val="22"/>
        </w:rPr>
        <w:t>do not coincide</w:t>
      </w:r>
    </w:p>
    <w:p w14:paraId="2B25BE28" w14:textId="0595FCA2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If income is greater than spending</w:t>
      </w:r>
      <w:r w:rsidR="00CE39B1" w:rsidRPr="003D12AF">
        <w:rPr>
          <w:sz w:val="22"/>
          <w:szCs w:val="22"/>
        </w:rPr>
        <w:t xml:space="preserve">, then </w:t>
      </w:r>
      <w:r w:rsidRPr="003D12AF">
        <w:rPr>
          <w:sz w:val="22"/>
          <w:szCs w:val="22"/>
        </w:rPr>
        <w:t>people tend to invest the surplus</w:t>
      </w:r>
      <w:r w:rsidR="00CE39B1" w:rsidRPr="003D12AF">
        <w:rPr>
          <w:sz w:val="22"/>
          <w:szCs w:val="22"/>
        </w:rPr>
        <w:t>.</w:t>
      </w:r>
    </w:p>
    <w:p w14:paraId="61FCDE85" w14:textId="66098BA5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If spending is greater than income</w:t>
      </w:r>
      <w:r w:rsidR="00CE39B1" w:rsidRPr="003D12AF">
        <w:rPr>
          <w:sz w:val="22"/>
          <w:szCs w:val="22"/>
        </w:rPr>
        <w:t xml:space="preserve">, then </w:t>
      </w:r>
      <w:r w:rsidRPr="003D12AF">
        <w:rPr>
          <w:sz w:val="22"/>
          <w:szCs w:val="22"/>
        </w:rPr>
        <w:t>people tend to borrow to cover the deficit</w:t>
      </w:r>
      <w:r w:rsidR="00CE39B1" w:rsidRPr="003D12AF">
        <w:rPr>
          <w:sz w:val="22"/>
          <w:szCs w:val="22"/>
        </w:rPr>
        <w:t>.</w:t>
      </w:r>
    </w:p>
    <w:p w14:paraId="15F91C3F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People would be willing to forgo current consu</w:t>
      </w:r>
      <w:r w:rsidR="001E49EA" w:rsidRPr="003D12AF">
        <w:rPr>
          <w:sz w:val="22"/>
          <w:szCs w:val="22"/>
        </w:rPr>
        <w:t xml:space="preserve">mption only if they are confident of achieving </w:t>
      </w:r>
      <w:r w:rsidRPr="003D12AF">
        <w:rPr>
          <w:sz w:val="22"/>
          <w:szCs w:val="22"/>
        </w:rPr>
        <w:t>greater consumption in the future.</w:t>
      </w:r>
    </w:p>
    <w:p w14:paraId="4DDFC1FE" w14:textId="173F2D02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The rate of exchange between future consumption</w:t>
      </w:r>
      <w:r w:rsidR="001E49EA" w:rsidRPr="003D12AF">
        <w:rPr>
          <w:sz w:val="22"/>
          <w:szCs w:val="22"/>
        </w:rPr>
        <w:t xml:space="preserve"> (future dollars)</w:t>
      </w:r>
      <w:r w:rsidRPr="003D12AF">
        <w:rPr>
          <w:sz w:val="22"/>
          <w:szCs w:val="22"/>
        </w:rPr>
        <w:t xml:space="preserve"> and present consumption </w:t>
      </w:r>
      <w:r w:rsidR="001E49EA" w:rsidRPr="003D12AF">
        <w:rPr>
          <w:sz w:val="22"/>
          <w:szCs w:val="22"/>
        </w:rPr>
        <w:t xml:space="preserve">(current dollars) </w:t>
      </w:r>
      <w:r w:rsidRPr="003D12AF">
        <w:rPr>
          <w:sz w:val="22"/>
          <w:szCs w:val="22"/>
        </w:rPr>
        <w:t>is the pure rate of interest. Market forces determine this rate.</w:t>
      </w:r>
    </w:p>
    <w:p w14:paraId="1C221CC5" w14:textId="77777777" w:rsidR="00BD66D0" w:rsidRPr="003D12AF" w:rsidRDefault="00BD66D0">
      <w:pPr>
        <w:widowControl w:val="0"/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63B66FD4" w14:textId="77777777" w:rsidR="001C5866" w:rsidRPr="003D12AF" w:rsidRDefault="001C5866" w:rsidP="001C5866">
      <w:pPr>
        <w:pStyle w:val="Heading5"/>
        <w:numPr>
          <w:ilvl w:val="0"/>
          <w:numId w:val="0"/>
        </w:numPr>
        <w:ind w:left="360"/>
        <w:rPr>
          <w:sz w:val="22"/>
          <w:szCs w:val="22"/>
        </w:rPr>
      </w:pPr>
      <w:r w:rsidRPr="003D12AF">
        <w:rPr>
          <w:sz w:val="22"/>
          <w:szCs w:val="22"/>
        </w:rPr>
        <w:t>1.1.1 Investment Defined</w:t>
      </w:r>
    </w:p>
    <w:p w14:paraId="68ED160B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Investment is</w:t>
      </w:r>
      <w:r w:rsidR="001E49EA" w:rsidRPr="003D12AF">
        <w:rPr>
          <w:sz w:val="22"/>
          <w:szCs w:val="22"/>
        </w:rPr>
        <w:t xml:space="preserve"> the current commitment of dollars</w:t>
      </w:r>
      <w:r w:rsidRPr="003D12AF">
        <w:rPr>
          <w:sz w:val="22"/>
          <w:szCs w:val="22"/>
        </w:rPr>
        <w:t xml:space="preserve"> f</w:t>
      </w:r>
      <w:r w:rsidR="001E49EA" w:rsidRPr="003D12AF">
        <w:rPr>
          <w:sz w:val="22"/>
          <w:szCs w:val="22"/>
        </w:rPr>
        <w:t xml:space="preserve">or a period of time to obtain </w:t>
      </w:r>
      <w:r w:rsidRPr="003D12AF">
        <w:rPr>
          <w:sz w:val="22"/>
          <w:szCs w:val="22"/>
        </w:rPr>
        <w:t xml:space="preserve">future </w:t>
      </w:r>
      <w:r w:rsidR="001E49EA" w:rsidRPr="003D12AF">
        <w:rPr>
          <w:sz w:val="22"/>
          <w:szCs w:val="22"/>
        </w:rPr>
        <w:t>payments</w:t>
      </w:r>
      <w:r w:rsidRPr="003D12AF">
        <w:rPr>
          <w:sz w:val="22"/>
          <w:szCs w:val="22"/>
        </w:rPr>
        <w:t xml:space="preserve"> that will compensate the investor for the time the funds are committed, for the expected rate of inflation</w:t>
      </w:r>
      <w:r w:rsidR="00AE209F" w:rsidRPr="003D12AF">
        <w:rPr>
          <w:sz w:val="22"/>
          <w:szCs w:val="22"/>
        </w:rPr>
        <w:t xml:space="preserve"> during this period</w:t>
      </w:r>
      <w:r w:rsidRPr="003D12AF">
        <w:rPr>
          <w:sz w:val="22"/>
          <w:szCs w:val="22"/>
        </w:rPr>
        <w:t>, and for t</w:t>
      </w:r>
      <w:r w:rsidR="001E49EA" w:rsidRPr="003D12AF">
        <w:rPr>
          <w:sz w:val="22"/>
          <w:szCs w:val="22"/>
        </w:rPr>
        <w:t>he un</w:t>
      </w:r>
      <w:r w:rsidR="00AE209F" w:rsidRPr="003D12AF">
        <w:rPr>
          <w:sz w:val="22"/>
          <w:szCs w:val="22"/>
        </w:rPr>
        <w:t>certainty of the future payments</w:t>
      </w:r>
      <w:r w:rsidRPr="003D12AF">
        <w:rPr>
          <w:sz w:val="22"/>
          <w:szCs w:val="22"/>
        </w:rPr>
        <w:t>.</w:t>
      </w:r>
    </w:p>
    <w:p w14:paraId="6EABEA03" w14:textId="77777777" w:rsidR="001C5866" w:rsidRPr="003D12AF" w:rsidRDefault="00A55D3E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In all cases, the investor is trading a known</w:t>
      </w:r>
      <w:r w:rsidR="00536E21" w:rsidRPr="003D12AF">
        <w:rPr>
          <w:sz w:val="22"/>
          <w:szCs w:val="22"/>
        </w:rPr>
        <w:t xml:space="preserve"> dollar amount today for some expected future steam of payments that will be greater than the current dollar amount today.</w:t>
      </w:r>
    </w:p>
    <w:p w14:paraId="543D5ED0" w14:textId="4F80E63A" w:rsidR="001C5866" w:rsidRPr="003D12AF" w:rsidRDefault="001C5866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 xml:space="preserve">The return is the investor’s </w:t>
      </w:r>
      <w:r w:rsidRPr="003D12AF">
        <w:rPr>
          <w:b/>
          <w:sz w:val="22"/>
          <w:szCs w:val="22"/>
        </w:rPr>
        <w:t>required rate of return</w:t>
      </w:r>
      <w:r w:rsidR="005A7F1D" w:rsidRPr="003D12AF">
        <w:rPr>
          <w:b/>
          <w:sz w:val="22"/>
          <w:szCs w:val="22"/>
        </w:rPr>
        <w:t>.</w:t>
      </w:r>
    </w:p>
    <w:p w14:paraId="516B36CA" w14:textId="77777777" w:rsidR="00BD66D0" w:rsidRPr="003D12AF" w:rsidRDefault="00BD66D0" w:rsidP="002C373B">
      <w:pPr>
        <w:widowControl w:val="0"/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080"/>
        <w:jc w:val="both"/>
        <w:rPr>
          <w:snapToGrid w:val="0"/>
          <w:sz w:val="22"/>
          <w:szCs w:val="22"/>
        </w:rPr>
      </w:pPr>
    </w:p>
    <w:p w14:paraId="1921CC6F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88"/>
        <w:jc w:val="both"/>
        <w:rPr>
          <w:snapToGrid w:val="0"/>
          <w:sz w:val="22"/>
          <w:szCs w:val="22"/>
        </w:rPr>
      </w:pPr>
    </w:p>
    <w:p w14:paraId="36622B6F" w14:textId="6DAE6710" w:rsidR="00BD66D0" w:rsidRPr="003D12AF" w:rsidRDefault="00BD66D0" w:rsidP="002C373B">
      <w:pPr>
        <w:pStyle w:val="Heading4"/>
        <w:numPr>
          <w:ilvl w:val="0"/>
          <w:numId w:val="2"/>
        </w:numPr>
        <w:rPr>
          <w:sz w:val="22"/>
          <w:szCs w:val="22"/>
        </w:rPr>
      </w:pPr>
      <w:r w:rsidRPr="003D12AF">
        <w:rPr>
          <w:sz w:val="22"/>
          <w:szCs w:val="22"/>
        </w:rPr>
        <w:t>Measures of Return and Risk</w:t>
      </w:r>
    </w:p>
    <w:p w14:paraId="6F290EDF" w14:textId="77777777" w:rsidR="00BD66D0" w:rsidRPr="003D12AF" w:rsidRDefault="00911953" w:rsidP="002C373B">
      <w:pPr>
        <w:pStyle w:val="Heading5"/>
        <w:numPr>
          <w:ilvl w:val="0"/>
          <w:numId w:val="0"/>
        </w:numPr>
        <w:ind w:left="360"/>
        <w:rPr>
          <w:sz w:val="22"/>
          <w:szCs w:val="22"/>
        </w:rPr>
      </w:pPr>
      <w:r w:rsidRPr="003D12AF">
        <w:rPr>
          <w:sz w:val="22"/>
          <w:szCs w:val="22"/>
        </w:rPr>
        <w:t xml:space="preserve">1.2.1 </w:t>
      </w:r>
      <w:r w:rsidR="00BD66D0" w:rsidRPr="003D12AF">
        <w:rPr>
          <w:sz w:val="22"/>
          <w:szCs w:val="22"/>
        </w:rPr>
        <w:t>Measures of Historical Rates of Return</w:t>
      </w:r>
    </w:p>
    <w:p w14:paraId="152C8124" w14:textId="1F0D2F17" w:rsidR="002934AA" w:rsidRPr="003D12AF" w:rsidRDefault="007C4698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pict w14:anchorId="794FAB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1.25pt;margin-top:75.45pt;width:192pt;height:33pt;z-index:1">
            <v:imagedata r:id="rId8" o:title=""/>
            <w10:wrap type="topAndBottom"/>
          </v:shape>
          <o:OLEObject Type="Embed" ProgID="Equation.3" ShapeID="_x0000_s1026" DrawAspect="Content" ObjectID="_1581500360" r:id="rId9"/>
        </w:pict>
      </w:r>
      <w:r w:rsidR="00BD66D0" w:rsidRPr="003D12AF">
        <w:rPr>
          <w:sz w:val="22"/>
          <w:szCs w:val="22"/>
        </w:rPr>
        <w:t>Holding Period Return (HPR) - the total return from an investment, including all sources of income, for a given period of time.  A value of 1.0 indicates no gain or loss.</w:t>
      </w:r>
      <w:r w:rsidR="002934AA" w:rsidRPr="003D12AF">
        <w:rPr>
          <w:sz w:val="22"/>
          <w:szCs w:val="22"/>
        </w:rPr>
        <w:t xml:space="preserve">  A value greater than 1.0 indicates an increase in wealth, a value less than 1.0 indicates a decline in wealth</w:t>
      </w:r>
      <w:r w:rsidR="005A7F1D" w:rsidRPr="003D12AF">
        <w:rPr>
          <w:sz w:val="22"/>
          <w:szCs w:val="22"/>
        </w:rPr>
        <w:t>,</w:t>
      </w:r>
      <w:r w:rsidR="002934AA" w:rsidRPr="003D12AF">
        <w:rPr>
          <w:sz w:val="22"/>
          <w:szCs w:val="22"/>
        </w:rPr>
        <w:t xml:space="preserve"> and a value of zero indicates that all of the money invested in that asset has been lost.</w:t>
      </w:r>
    </w:p>
    <w:p w14:paraId="67630CEE" w14:textId="77777777" w:rsidR="00BD66D0" w:rsidRPr="003D12AF" w:rsidRDefault="00BD66D0" w:rsidP="002934AA">
      <w:pPr>
        <w:widowControl w:val="0"/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ab/>
      </w:r>
    </w:p>
    <w:p w14:paraId="5DF3F1E8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88"/>
        <w:jc w:val="both"/>
        <w:rPr>
          <w:snapToGrid w:val="0"/>
          <w:sz w:val="22"/>
          <w:szCs w:val="22"/>
        </w:rPr>
      </w:pPr>
    </w:p>
    <w:p w14:paraId="72943D40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Holding Period Yield (HPY) - the total return from an investment for a given period of time stated as a percentage.</w:t>
      </w:r>
    </w:p>
    <w:p w14:paraId="3BFEB6A3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20" w:lineRule="exact"/>
        <w:ind w:left="1440" w:right="288"/>
        <w:jc w:val="both"/>
        <w:rPr>
          <w:snapToGrid w:val="0"/>
          <w:sz w:val="22"/>
          <w:szCs w:val="22"/>
        </w:rPr>
      </w:pPr>
    </w:p>
    <w:p w14:paraId="35B164C1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88"/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ab/>
      </w:r>
      <w:r w:rsidRPr="003D12AF">
        <w:rPr>
          <w:snapToGrid w:val="0"/>
          <w:sz w:val="22"/>
          <w:szCs w:val="22"/>
        </w:rPr>
        <w:tab/>
      </w:r>
      <w:r w:rsidRPr="003D12AF">
        <w:rPr>
          <w:snapToGrid w:val="0"/>
          <w:sz w:val="22"/>
          <w:szCs w:val="22"/>
        </w:rPr>
        <w:tab/>
        <w:t>HPY = HPR - 1</w:t>
      </w:r>
    </w:p>
    <w:p w14:paraId="71731C46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right="288"/>
        <w:jc w:val="both"/>
        <w:rPr>
          <w:snapToGrid w:val="0"/>
          <w:sz w:val="22"/>
          <w:szCs w:val="22"/>
        </w:rPr>
      </w:pPr>
    </w:p>
    <w:p w14:paraId="6810934D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right="288"/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>Annual HPR = HPR</w:t>
      </w:r>
      <w:r w:rsidRPr="003D12AF">
        <w:rPr>
          <w:snapToGrid w:val="0"/>
          <w:position w:val="6"/>
          <w:sz w:val="22"/>
          <w:szCs w:val="22"/>
        </w:rPr>
        <w:t>1/n</w:t>
      </w:r>
    </w:p>
    <w:p w14:paraId="5EEFE423" w14:textId="77777777" w:rsidR="00153CCE" w:rsidRPr="003D12AF" w:rsidRDefault="00484BC5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right="288"/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>where</w:t>
      </w:r>
      <w:r w:rsidR="00153CCE" w:rsidRPr="003D12AF">
        <w:rPr>
          <w:snapToGrid w:val="0"/>
          <w:sz w:val="22"/>
          <w:szCs w:val="22"/>
        </w:rPr>
        <w:t>:</w:t>
      </w:r>
    </w:p>
    <w:p w14:paraId="340FF386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right="288"/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>n is the number of years the investment is held</w:t>
      </w:r>
    </w:p>
    <w:p w14:paraId="62FE293B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right="288"/>
        <w:jc w:val="both"/>
        <w:rPr>
          <w:snapToGrid w:val="0"/>
          <w:sz w:val="22"/>
          <w:szCs w:val="22"/>
        </w:rPr>
      </w:pPr>
    </w:p>
    <w:p w14:paraId="4B809633" w14:textId="77777777" w:rsidR="00BD66D0" w:rsidRPr="003D12AF" w:rsidRDefault="00911953" w:rsidP="002C373B">
      <w:pPr>
        <w:pStyle w:val="Heading5"/>
        <w:numPr>
          <w:ilvl w:val="0"/>
          <w:numId w:val="0"/>
        </w:numPr>
        <w:ind w:left="360"/>
        <w:rPr>
          <w:sz w:val="22"/>
          <w:szCs w:val="22"/>
        </w:rPr>
      </w:pPr>
      <w:r w:rsidRPr="003D12AF">
        <w:rPr>
          <w:sz w:val="22"/>
          <w:szCs w:val="22"/>
        </w:rPr>
        <w:t xml:space="preserve">1.2.2 </w:t>
      </w:r>
      <w:r w:rsidR="00BD66D0" w:rsidRPr="003D12AF">
        <w:rPr>
          <w:sz w:val="22"/>
          <w:szCs w:val="22"/>
        </w:rPr>
        <w:t>Computing Mean Historical Returns</w:t>
      </w:r>
    </w:p>
    <w:p w14:paraId="1F0EED3C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Mean rate</w:t>
      </w:r>
      <w:r w:rsidR="00911953" w:rsidRPr="003D12AF">
        <w:rPr>
          <w:sz w:val="22"/>
          <w:szCs w:val="22"/>
        </w:rPr>
        <w:t>s</w:t>
      </w:r>
      <w:r w:rsidRPr="003D12AF">
        <w:rPr>
          <w:sz w:val="22"/>
          <w:szCs w:val="22"/>
        </w:rPr>
        <w:t xml:space="preserve"> of return - the average of an investment's returns over time.</w:t>
      </w:r>
    </w:p>
    <w:p w14:paraId="1AAFCDF2" w14:textId="77777777" w:rsidR="00E5100E" w:rsidRPr="003D12AF" w:rsidRDefault="00E5100E" w:rsidP="002C373B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57C8AC3" w14:textId="77777777" w:rsidR="00BD66D0" w:rsidRPr="003D12AF" w:rsidRDefault="00BD66D0">
      <w:pPr>
        <w:widowControl w:val="0"/>
        <w:numPr>
          <w:ilvl w:val="2"/>
          <w:numId w:val="3"/>
        </w:numPr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>Single Investment</w:t>
      </w:r>
    </w:p>
    <w:p w14:paraId="75E45079" w14:textId="77777777" w:rsidR="00BD66D0" w:rsidRPr="003D12AF" w:rsidRDefault="00BD66D0">
      <w:pPr>
        <w:widowControl w:val="0"/>
        <w:numPr>
          <w:ilvl w:val="3"/>
          <w:numId w:val="3"/>
        </w:numPr>
        <w:tabs>
          <w:tab w:val="left" w:pos="720"/>
          <w:tab w:val="left" w:pos="10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>Arithmetic Mean (AM) - a measure of mean return eq</w:t>
      </w:r>
      <w:r w:rsidR="00A343EA" w:rsidRPr="003D12AF">
        <w:rPr>
          <w:snapToGrid w:val="0"/>
          <w:sz w:val="22"/>
          <w:szCs w:val="22"/>
        </w:rPr>
        <w:t>ual to the sum of annual HPYs</w:t>
      </w:r>
      <w:r w:rsidRPr="003D12AF">
        <w:rPr>
          <w:snapToGrid w:val="0"/>
          <w:sz w:val="22"/>
          <w:szCs w:val="22"/>
        </w:rPr>
        <w:t xml:space="preserve"> </w:t>
      </w:r>
      <w:r w:rsidRPr="003D12AF">
        <w:rPr>
          <w:snapToGrid w:val="0"/>
          <w:sz w:val="22"/>
          <w:szCs w:val="22"/>
        </w:rPr>
        <w:lastRenderedPageBreak/>
        <w:t>divided by the number of years.</w:t>
      </w:r>
    </w:p>
    <w:p w14:paraId="52F038E7" w14:textId="77777777" w:rsidR="00BD66D0" w:rsidRPr="003D12AF" w:rsidRDefault="00BD66D0">
      <w:pPr>
        <w:pStyle w:val="Heading2"/>
        <w:rPr>
          <w:sz w:val="22"/>
          <w:szCs w:val="22"/>
        </w:rPr>
      </w:pPr>
    </w:p>
    <w:p w14:paraId="64C3D500" w14:textId="77777777" w:rsidR="00BD66D0" w:rsidRPr="003D12AF" w:rsidRDefault="00A343EA">
      <w:pPr>
        <w:pStyle w:val="Heading2"/>
        <w:rPr>
          <w:sz w:val="22"/>
          <w:szCs w:val="22"/>
        </w:rPr>
      </w:pPr>
      <w:r w:rsidRPr="003D12AF">
        <w:rPr>
          <w:sz w:val="22"/>
          <w:szCs w:val="22"/>
        </w:rPr>
        <w:tab/>
      </w:r>
      <w:r w:rsidRPr="003D12AF">
        <w:rPr>
          <w:sz w:val="22"/>
          <w:szCs w:val="22"/>
        </w:rPr>
        <w:tab/>
      </w:r>
      <w:r w:rsidRPr="003D12AF">
        <w:rPr>
          <w:sz w:val="22"/>
          <w:szCs w:val="22"/>
        </w:rPr>
        <w:tab/>
        <w:t>AM</w:t>
      </w:r>
      <w:r w:rsidR="00BD66D0" w:rsidRPr="003D12AF">
        <w:rPr>
          <w:sz w:val="22"/>
          <w:szCs w:val="22"/>
        </w:rPr>
        <w:t xml:space="preserve"> = </w:t>
      </w:r>
      <w:r w:rsidR="00BD66D0" w:rsidRPr="003D12AF">
        <w:rPr>
          <w:sz w:val="22"/>
          <w:szCs w:val="22"/>
        </w:rPr>
        <w:sym w:font="Symbol" w:char="F053"/>
      </w:r>
      <w:r w:rsidR="00BD66D0" w:rsidRPr="003D12AF">
        <w:rPr>
          <w:sz w:val="22"/>
          <w:szCs w:val="22"/>
        </w:rPr>
        <w:t xml:space="preserve"> HPY/n</w:t>
      </w:r>
    </w:p>
    <w:p w14:paraId="47CF4E18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/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ab/>
      </w:r>
      <w:r w:rsidRPr="003D12AF">
        <w:rPr>
          <w:snapToGrid w:val="0"/>
          <w:sz w:val="22"/>
          <w:szCs w:val="22"/>
        </w:rPr>
        <w:tab/>
      </w:r>
    </w:p>
    <w:p w14:paraId="76F3DA8A" w14:textId="77777777" w:rsidR="00BD66D0" w:rsidRPr="003D12AF" w:rsidRDefault="00BD66D0">
      <w:pPr>
        <w:widowControl w:val="0"/>
        <w:numPr>
          <w:ilvl w:val="3"/>
          <w:numId w:val="3"/>
        </w:numPr>
        <w:tabs>
          <w:tab w:val="left" w:pos="720"/>
          <w:tab w:val="left" w:pos="10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>Geometric Mean (GM) - the nth root of the product of the annual holding period returns for n years, minus one (1).</w:t>
      </w:r>
    </w:p>
    <w:p w14:paraId="0413C896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0602DE10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/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 xml:space="preserve">GM </w:t>
      </w:r>
      <w:r w:rsidR="00553754" w:rsidRPr="003D12AF">
        <w:rPr>
          <w:snapToGrid w:val="0"/>
          <w:sz w:val="22"/>
          <w:szCs w:val="22"/>
        </w:rPr>
        <w:t>= [</w:t>
      </w:r>
      <w:r w:rsidRPr="003D12AF">
        <w:rPr>
          <w:snapToGrid w:val="0"/>
          <w:sz w:val="22"/>
          <w:szCs w:val="22"/>
        </w:rPr>
        <w:sym w:font="Symbol" w:char="F070"/>
      </w:r>
      <w:r w:rsidRPr="003D12AF">
        <w:rPr>
          <w:snapToGrid w:val="0"/>
          <w:sz w:val="22"/>
          <w:szCs w:val="22"/>
        </w:rPr>
        <w:t>HPR]</w:t>
      </w:r>
      <w:r w:rsidRPr="003D12AF">
        <w:rPr>
          <w:snapToGrid w:val="0"/>
          <w:position w:val="6"/>
          <w:sz w:val="22"/>
          <w:szCs w:val="22"/>
        </w:rPr>
        <w:t>1/n</w:t>
      </w:r>
      <w:r w:rsidRPr="003D12AF">
        <w:rPr>
          <w:snapToGrid w:val="0"/>
          <w:sz w:val="22"/>
          <w:szCs w:val="22"/>
        </w:rPr>
        <w:t xml:space="preserve"> - 1</w:t>
      </w:r>
    </w:p>
    <w:p w14:paraId="370DCECD" w14:textId="77777777" w:rsidR="00A343EA" w:rsidRPr="003D12AF" w:rsidRDefault="00A343EA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/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>w</w:t>
      </w:r>
      <w:r w:rsidR="00BD66D0" w:rsidRPr="003D12AF">
        <w:rPr>
          <w:snapToGrid w:val="0"/>
          <w:sz w:val="22"/>
          <w:szCs w:val="22"/>
        </w:rPr>
        <w:t>here</w:t>
      </w:r>
      <w:r w:rsidRPr="003D12AF">
        <w:rPr>
          <w:snapToGrid w:val="0"/>
          <w:sz w:val="22"/>
          <w:szCs w:val="22"/>
        </w:rPr>
        <w:t>:</w:t>
      </w:r>
    </w:p>
    <w:p w14:paraId="27C350C9" w14:textId="77777777" w:rsidR="00BD66D0" w:rsidRPr="003D12AF" w:rsidRDefault="00BD66D0" w:rsidP="00E5100E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/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 xml:space="preserve"> </w:t>
      </w:r>
      <w:r w:rsidRPr="003D12AF">
        <w:rPr>
          <w:snapToGrid w:val="0"/>
          <w:sz w:val="22"/>
          <w:szCs w:val="22"/>
        </w:rPr>
        <w:sym w:font="Symbol" w:char="F070"/>
      </w:r>
      <w:r w:rsidRPr="003D12AF">
        <w:rPr>
          <w:snapToGrid w:val="0"/>
          <w:sz w:val="22"/>
          <w:szCs w:val="22"/>
        </w:rPr>
        <w:t xml:space="preserve"> = the product of the annual holding period returns, i.e., (HPR</w:t>
      </w:r>
      <w:r w:rsidR="00E5100E" w:rsidRPr="003D12AF">
        <w:rPr>
          <w:sz w:val="22"/>
          <w:szCs w:val="22"/>
          <w:vertAlign w:val="subscript"/>
        </w:rPr>
        <w:t>1</w:t>
      </w:r>
      <w:r w:rsidR="00A343EA" w:rsidRPr="003D12AF">
        <w:rPr>
          <w:snapToGrid w:val="0"/>
          <w:sz w:val="22"/>
          <w:szCs w:val="22"/>
        </w:rPr>
        <w:t>) x (</w:t>
      </w:r>
      <w:r w:rsidRPr="003D12AF">
        <w:rPr>
          <w:snapToGrid w:val="0"/>
          <w:sz w:val="22"/>
          <w:szCs w:val="22"/>
        </w:rPr>
        <w:t>HPR</w:t>
      </w:r>
      <w:r w:rsidR="00E5100E" w:rsidRPr="003D12AF">
        <w:rPr>
          <w:sz w:val="22"/>
          <w:szCs w:val="22"/>
          <w:vertAlign w:val="subscript"/>
        </w:rPr>
        <w:t>2</w:t>
      </w:r>
      <w:r w:rsidR="00A343EA" w:rsidRPr="003D12AF">
        <w:rPr>
          <w:snapToGrid w:val="0"/>
          <w:sz w:val="22"/>
          <w:szCs w:val="22"/>
        </w:rPr>
        <w:t>) ... (</w:t>
      </w:r>
      <w:r w:rsidRPr="003D12AF">
        <w:rPr>
          <w:snapToGrid w:val="0"/>
          <w:sz w:val="22"/>
          <w:szCs w:val="22"/>
        </w:rPr>
        <w:t>HPR</w:t>
      </w:r>
      <w:r w:rsidRPr="003D12AF">
        <w:rPr>
          <w:snapToGrid w:val="0"/>
          <w:position w:val="-6"/>
          <w:sz w:val="22"/>
          <w:szCs w:val="22"/>
        </w:rPr>
        <w:t>n</w:t>
      </w:r>
      <w:r w:rsidRPr="003D12AF">
        <w:rPr>
          <w:snapToGrid w:val="0"/>
          <w:sz w:val="22"/>
          <w:szCs w:val="22"/>
        </w:rPr>
        <w:t>)</w:t>
      </w:r>
    </w:p>
    <w:p w14:paraId="0AFEFF59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7396A204" w14:textId="6E42808C" w:rsidR="002131FC" w:rsidRPr="003D12AF" w:rsidRDefault="00BD66D0" w:rsidP="002131FC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napToGrid w:val="0"/>
          <w:sz w:val="22"/>
          <w:szCs w:val="22"/>
        </w:rPr>
        <w:t>A Portfolio of Investments – The mean historical rate of return for a portfolio of investments is measured as the weighted average of the HPYs for the individu</w:t>
      </w:r>
      <w:r w:rsidR="00553754" w:rsidRPr="003D12AF">
        <w:rPr>
          <w:snapToGrid w:val="0"/>
          <w:sz w:val="22"/>
          <w:szCs w:val="22"/>
        </w:rPr>
        <w:t xml:space="preserve">al investments in the portfolio or the overall </w:t>
      </w:r>
      <w:r w:rsidR="00E201FD" w:rsidRPr="003D12AF">
        <w:rPr>
          <w:snapToGrid w:val="0"/>
          <w:sz w:val="22"/>
          <w:szCs w:val="22"/>
        </w:rPr>
        <w:t xml:space="preserve">percent </w:t>
      </w:r>
      <w:r w:rsidR="00553754" w:rsidRPr="003D12AF">
        <w:rPr>
          <w:snapToGrid w:val="0"/>
          <w:sz w:val="22"/>
          <w:szCs w:val="22"/>
        </w:rPr>
        <w:t xml:space="preserve">change in value of the original portfolio.  The weights used in computing the averages are the relative </w:t>
      </w:r>
      <w:r w:rsidR="00553754" w:rsidRPr="003D12AF">
        <w:rPr>
          <w:i/>
          <w:snapToGrid w:val="0"/>
          <w:sz w:val="22"/>
          <w:szCs w:val="22"/>
        </w:rPr>
        <w:t xml:space="preserve">beginning </w:t>
      </w:r>
      <w:r w:rsidR="00553754" w:rsidRPr="003D12AF">
        <w:rPr>
          <w:snapToGrid w:val="0"/>
          <w:sz w:val="22"/>
          <w:szCs w:val="22"/>
        </w:rPr>
        <w:t>market values for each investment; this is referred to as</w:t>
      </w:r>
      <w:r w:rsidR="00B01BD4" w:rsidRPr="003D12AF">
        <w:rPr>
          <w:snapToGrid w:val="0"/>
          <w:sz w:val="22"/>
          <w:szCs w:val="22"/>
        </w:rPr>
        <w:t xml:space="preserve"> the</w:t>
      </w:r>
      <w:r w:rsidR="00553754" w:rsidRPr="003D12AF">
        <w:rPr>
          <w:snapToGrid w:val="0"/>
          <w:sz w:val="22"/>
          <w:szCs w:val="22"/>
        </w:rPr>
        <w:t xml:space="preserve"> </w:t>
      </w:r>
      <w:r w:rsidR="00553754" w:rsidRPr="003D12AF">
        <w:rPr>
          <w:i/>
          <w:snapToGrid w:val="0"/>
          <w:sz w:val="22"/>
          <w:szCs w:val="22"/>
        </w:rPr>
        <w:t>dollar-weighted</w:t>
      </w:r>
      <w:r w:rsidR="00553754" w:rsidRPr="003D12AF">
        <w:rPr>
          <w:snapToGrid w:val="0"/>
          <w:sz w:val="22"/>
          <w:szCs w:val="22"/>
        </w:rPr>
        <w:t xml:space="preserve"> or </w:t>
      </w:r>
      <w:r w:rsidR="00553754" w:rsidRPr="003D12AF">
        <w:rPr>
          <w:i/>
          <w:snapToGrid w:val="0"/>
          <w:sz w:val="22"/>
          <w:szCs w:val="22"/>
        </w:rPr>
        <w:t>value-weighted</w:t>
      </w:r>
      <w:r w:rsidR="00553754" w:rsidRPr="003D12AF">
        <w:rPr>
          <w:snapToGrid w:val="0"/>
          <w:sz w:val="22"/>
          <w:szCs w:val="22"/>
        </w:rPr>
        <w:t xml:space="preserve"> mean rate of return.</w:t>
      </w:r>
      <w:r w:rsidR="002131FC" w:rsidRPr="003D12AF">
        <w:rPr>
          <w:sz w:val="22"/>
          <w:szCs w:val="22"/>
        </w:rPr>
        <w:t xml:space="preserve"> (Exhibit 1.1)</w:t>
      </w:r>
    </w:p>
    <w:p w14:paraId="74D2657E" w14:textId="77777777" w:rsidR="00BD66D0" w:rsidRPr="003D12AF" w:rsidRDefault="00BD66D0" w:rsidP="002C373B">
      <w:pPr>
        <w:widowControl w:val="0"/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080"/>
        <w:jc w:val="both"/>
        <w:rPr>
          <w:snapToGrid w:val="0"/>
          <w:sz w:val="22"/>
          <w:szCs w:val="22"/>
        </w:rPr>
      </w:pPr>
    </w:p>
    <w:p w14:paraId="16D5F644" w14:textId="77777777" w:rsidR="00BD66D0" w:rsidRPr="003D12AF" w:rsidRDefault="00911953" w:rsidP="002C373B">
      <w:pPr>
        <w:pStyle w:val="Heading1"/>
        <w:tabs>
          <w:tab w:val="clear" w:pos="288"/>
          <w:tab w:val="clear" w:pos="576"/>
          <w:tab w:val="clear" w:pos="1008"/>
          <w:tab w:val="clear" w:pos="1296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  <w:tab w:val="clear" w:pos="1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" w:right="0"/>
        <w:rPr>
          <w:sz w:val="22"/>
          <w:szCs w:val="22"/>
        </w:rPr>
      </w:pPr>
      <w:r w:rsidRPr="003D12AF">
        <w:rPr>
          <w:sz w:val="22"/>
          <w:szCs w:val="22"/>
        </w:rPr>
        <w:t xml:space="preserve">1.2.3 </w:t>
      </w:r>
      <w:r w:rsidR="00BD66D0" w:rsidRPr="003D12AF">
        <w:rPr>
          <w:sz w:val="22"/>
          <w:szCs w:val="22"/>
        </w:rPr>
        <w:t>Calculating Expected Rates of Return</w:t>
      </w:r>
      <w:r w:rsidR="002131FC" w:rsidRPr="003D12AF">
        <w:rPr>
          <w:sz w:val="22"/>
          <w:szCs w:val="22"/>
        </w:rPr>
        <w:t xml:space="preserve"> (Exhibit 1.2, 1.3, 1.4)</w:t>
      </w:r>
    </w:p>
    <w:p w14:paraId="29553B36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b/>
          <w:sz w:val="22"/>
          <w:szCs w:val="22"/>
        </w:rPr>
        <w:t>Risk</w:t>
      </w:r>
      <w:r w:rsidRPr="003D12AF">
        <w:rPr>
          <w:sz w:val="22"/>
          <w:szCs w:val="22"/>
        </w:rPr>
        <w:t xml:space="preserve"> - the uncertainty that an investment will earn its expected rate of return.</w:t>
      </w:r>
    </w:p>
    <w:p w14:paraId="45CD5C69" w14:textId="084A6F00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 xml:space="preserve">Probability </w:t>
      </w:r>
      <w:r w:rsidR="005A7F1D" w:rsidRPr="003D12AF">
        <w:rPr>
          <w:sz w:val="22"/>
          <w:szCs w:val="22"/>
        </w:rPr>
        <w:t>-</w:t>
      </w:r>
      <w:r w:rsidRPr="003D12AF">
        <w:rPr>
          <w:sz w:val="22"/>
          <w:szCs w:val="22"/>
        </w:rPr>
        <w:t xml:space="preserve"> the likelihood of an outcome</w:t>
      </w:r>
    </w:p>
    <w:p w14:paraId="725F0128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To compute the expected rate of return, the investor assigns probability values to all possible returns.  These probabilities range from zero (no chance) to one (complete certainty).</w:t>
      </w:r>
    </w:p>
    <w:p w14:paraId="41BC53A4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Expected Return</w:t>
      </w:r>
    </w:p>
    <w:p w14:paraId="1A04932A" w14:textId="1BD1640B" w:rsidR="00BD66D0" w:rsidRPr="003D12AF" w:rsidRDefault="007C4698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pict w14:anchorId="0075D948">
          <v:shape id="_x0000_s1027" type="#_x0000_t75" style="position:absolute;left:0;text-align:left;margin-left:70.5pt;margin-top:12.3pt;width:4in;height:74pt;z-index:2" o:allowincell="f">
            <v:imagedata r:id="rId10" o:title=""/>
            <w10:wrap type="topAndBottom"/>
          </v:shape>
          <o:OLEObject Type="Embed" ProgID="Equation.3" ShapeID="_x0000_s1027" DrawAspect="Content" ObjectID="_1581500361" r:id="rId11"/>
        </w:pict>
      </w:r>
      <w:r w:rsidR="00BD66D0" w:rsidRPr="003D12AF">
        <w:rPr>
          <w:sz w:val="22"/>
          <w:szCs w:val="22"/>
        </w:rPr>
        <w:t>Risk aversion - the assumption that most investors will choose the least risk</w:t>
      </w:r>
      <w:r w:rsidR="00911953" w:rsidRPr="003D12AF">
        <w:rPr>
          <w:sz w:val="22"/>
          <w:szCs w:val="22"/>
        </w:rPr>
        <w:t xml:space="preserve">y </w:t>
      </w:r>
      <w:r w:rsidR="00BD66D0" w:rsidRPr="003D12AF">
        <w:rPr>
          <w:sz w:val="22"/>
          <w:szCs w:val="22"/>
        </w:rPr>
        <w:t>alternative, all else being equal</w:t>
      </w:r>
      <w:r w:rsidR="00B01BD4" w:rsidRPr="003D12AF">
        <w:rPr>
          <w:sz w:val="22"/>
          <w:szCs w:val="22"/>
        </w:rPr>
        <w:t>,</w:t>
      </w:r>
      <w:r w:rsidR="00BD66D0" w:rsidRPr="003D12AF">
        <w:rPr>
          <w:sz w:val="22"/>
          <w:szCs w:val="22"/>
        </w:rPr>
        <w:t xml:space="preserve"> and that they will not accept additional risk unless they are compensated</w:t>
      </w:r>
      <w:r w:rsidR="00E201FD" w:rsidRPr="003D12AF">
        <w:rPr>
          <w:sz w:val="22"/>
          <w:szCs w:val="22"/>
        </w:rPr>
        <w:t xml:space="preserve"> for that risk </w:t>
      </w:r>
      <w:r w:rsidR="00BD66D0" w:rsidRPr="003D12AF">
        <w:rPr>
          <w:sz w:val="22"/>
          <w:szCs w:val="22"/>
        </w:rPr>
        <w:t>in the form of higher return.</w:t>
      </w:r>
    </w:p>
    <w:p w14:paraId="3C8E7A6A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40FB0B46" w14:textId="77777777" w:rsidR="00BD66D0" w:rsidRPr="003D12AF" w:rsidRDefault="00911953" w:rsidP="002C373B">
      <w:pPr>
        <w:pStyle w:val="Heading1"/>
        <w:tabs>
          <w:tab w:val="clear" w:pos="288"/>
          <w:tab w:val="clear" w:pos="576"/>
          <w:tab w:val="clear" w:pos="1008"/>
          <w:tab w:val="clear" w:pos="1296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  <w:tab w:val="clear" w:pos="1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" w:right="0"/>
        <w:rPr>
          <w:sz w:val="22"/>
          <w:szCs w:val="22"/>
        </w:rPr>
      </w:pPr>
      <w:r w:rsidRPr="003D12AF">
        <w:rPr>
          <w:sz w:val="22"/>
          <w:szCs w:val="22"/>
        </w:rPr>
        <w:t xml:space="preserve">1.2.4 </w:t>
      </w:r>
      <w:r w:rsidR="00BD66D0" w:rsidRPr="003D12AF">
        <w:rPr>
          <w:sz w:val="22"/>
          <w:szCs w:val="22"/>
        </w:rPr>
        <w:t>Measuring the Risk of Expected Rates of Return</w:t>
      </w:r>
    </w:p>
    <w:p w14:paraId="79EC634E" w14:textId="77777777" w:rsidR="00BD66D0" w:rsidRPr="003D12AF" w:rsidRDefault="00BD66D0">
      <w:pPr>
        <w:widowControl w:val="0"/>
        <w:numPr>
          <w:ilvl w:val="2"/>
          <w:numId w:val="5"/>
        </w:numPr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3D12AF">
        <w:rPr>
          <w:b/>
          <w:snapToGrid w:val="0"/>
          <w:sz w:val="22"/>
          <w:szCs w:val="22"/>
        </w:rPr>
        <w:t>Variance</w:t>
      </w:r>
      <w:r w:rsidRPr="003D12AF">
        <w:rPr>
          <w:snapToGrid w:val="0"/>
          <w:sz w:val="22"/>
          <w:szCs w:val="22"/>
        </w:rPr>
        <w:t xml:space="preserve"> - a measure of risk equal to the sum of the probability of return times the squares of a return's deviation from the mean.</w:t>
      </w:r>
    </w:p>
    <w:p w14:paraId="7CAA903B" w14:textId="77777777" w:rsidR="00BD66D0" w:rsidRPr="003D12AF" w:rsidRDefault="007C4698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3D12AF">
        <w:rPr>
          <w:sz w:val="22"/>
          <w:szCs w:val="22"/>
        </w:rPr>
        <w:pict w14:anchorId="441D5F85">
          <v:shape id="_x0000_s1028" type="#_x0000_t75" style="position:absolute;left:0;text-align:left;margin-left:70.5pt;margin-top:14.35pt;width:286pt;height:74pt;z-index:3" o:allowincell="f">
            <v:imagedata r:id="rId12" o:title=""/>
            <w10:wrap type="topAndBottom"/>
          </v:shape>
          <o:OLEObject Type="Embed" ProgID="Equation.3" ShapeID="_x0000_s1028" DrawAspect="Content" ObjectID="_1581500362" r:id="rId13"/>
        </w:pict>
      </w:r>
    </w:p>
    <w:p w14:paraId="366C3307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6FEE564D" w14:textId="77777777" w:rsidR="00BD66D0" w:rsidRPr="003D12AF" w:rsidRDefault="00BD66D0">
      <w:pPr>
        <w:widowControl w:val="0"/>
        <w:numPr>
          <w:ilvl w:val="2"/>
          <w:numId w:val="5"/>
        </w:numPr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3D12AF">
        <w:rPr>
          <w:b/>
          <w:snapToGrid w:val="0"/>
          <w:sz w:val="22"/>
          <w:szCs w:val="22"/>
        </w:rPr>
        <w:t>Standard Deviation</w:t>
      </w:r>
      <w:r w:rsidRPr="003D12AF">
        <w:rPr>
          <w:snapToGrid w:val="0"/>
          <w:sz w:val="22"/>
          <w:szCs w:val="22"/>
        </w:rPr>
        <w:t xml:space="preserve"> (</w:t>
      </w:r>
      <w:r w:rsidRPr="003D12AF">
        <w:rPr>
          <w:snapToGrid w:val="0"/>
          <w:sz w:val="22"/>
          <w:szCs w:val="22"/>
        </w:rPr>
        <w:sym w:font="Symbol" w:char="F073"/>
      </w:r>
      <w:r w:rsidRPr="003D12AF">
        <w:rPr>
          <w:snapToGrid w:val="0"/>
          <w:sz w:val="22"/>
          <w:szCs w:val="22"/>
        </w:rPr>
        <w:t>) - a measure of risk equal to the square root of variance.</w:t>
      </w:r>
    </w:p>
    <w:p w14:paraId="2571C21C" w14:textId="77777777" w:rsidR="00BD66D0" w:rsidRPr="003D12AF" w:rsidRDefault="00BD66D0">
      <w:pPr>
        <w:widowControl w:val="0"/>
        <w:numPr>
          <w:ilvl w:val="2"/>
          <w:numId w:val="5"/>
        </w:numPr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3D12AF">
        <w:rPr>
          <w:b/>
          <w:snapToGrid w:val="0"/>
          <w:sz w:val="22"/>
          <w:szCs w:val="22"/>
        </w:rPr>
        <w:t>Coefficient of variation</w:t>
      </w:r>
      <w:r w:rsidRPr="003D12AF">
        <w:rPr>
          <w:snapToGrid w:val="0"/>
          <w:sz w:val="22"/>
          <w:szCs w:val="22"/>
        </w:rPr>
        <w:t xml:space="preserve"> (CV) - a measure of relative variability that indicates risk per unit of return.  It is used to compare alternative investments whose rates of return and standard deviation vary widely.</w:t>
      </w:r>
    </w:p>
    <w:p w14:paraId="183062A6" w14:textId="77777777" w:rsidR="00BD66D0" w:rsidRPr="003D12AF" w:rsidRDefault="007C4698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3D12AF">
        <w:rPr>
          <w:sz w:val="22"/>
          <w:szCs w:val="22"/>
        </w:rPr>
        <w:lastRenderedPageBreak/>
        <w:pict w14:anchorId="35E64C48">
          <v:shape id="_x0000_s1029" type="#_x0000_t75" style="position:absolute;left:0;text-align:left;margin-left:69.75pt;margin-top:14.1pt;width:180pt;height:33pt;z-index:4">
            <v:imagedata r:id="rId14" o:title=""/>
            <w10:wrap type="topAndBottom"/>
          </v:shape>
          <o:OLEObject Type="Embed" ProgID="Equation.3" ShapeID="_x0000_s1029" DrawAspect="Content" ObjectID="_1581500363" r:id="rId15"/>
        </w:pict>
      </w:r>
    </w:p>
    <w:p w14:paraId="13452FCE" w14:textId="77777777" w:rsidR="00911953" w:rsidRPr="003D12AF" w:rsidRDefault="00911953" w:rsidP="002C373B">
      <w:pPr>
        <w:pStyle w:val="Heading6"/>
        <w:ind w:left="720"/>
        <w:rPr>
          <w:sz w:val="22"/>
          <w:szCs w:val="22"/>
        </w:rPr>
      </w:pPr>
    </w:p>
    <w:p w14:paraId="6047BFD6" w14:textId="77777777" w:rsidR="00BD66D0" w:rsidRPr="003D12AF" w:rsidRDefault="00911953" w:rsidP="002C373B">
      <w:pPr>
        <w:pStyle w:val="Heading1"/>
        <w:tabs>
          <w:tab w:val="clear" w:pos="288"/>
          <w:tab w:val="clear" w:pos="576"/>
          <w:tab w:val="clear" w:pos="1008"/>
          <w:tab w:val="clear" w:pos="1296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  <w:tab w:val="clear" w:pos="1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" w:right="0"/>
        <w:rPr>
          <w:sz w:val="22"/>
          <w:szCs w:val="22"/>
        </w:rPr>
      </w:pPr>
      <w:r w:rsidRPr="003D12AF">
        <w:rPr>
          <w:sz w:val="22"/>
          <w:szCs w:val="22"/>
        </w:rPr>
        <w:t>1.2.5 Risk Measures for Historical Returns</w:t>
      </w:r>
    </w:p>
    <w:p w14:paraId="3B9751F4" w14:textId="77777777" w:rsidR="00ED4042" w:rsidRPr="003D12AF" w:rsidRDefault="00911953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Use the historical holding period yields (HPYs)</w:t>
      </w:r>
    </w:p>
    <w:p w14:paraId="372FD5FB" w14:textId="77777777" w:rsidR="00911953" w:rsidRPr="003D12AF" w:rsidRDefault="002C373B" w:rsidP="002C373B">
      <w:pPr>
        <w:autoSpaceDE w:val="0"/>
        <w:autoSpaceDN w:val="0"/>
        <w:adjustRightInd w:val="0"/>
        <w:ind w:left="1440"/>
        <w:rPr>
          <w:sz w:val="22"/>
          <w:szCs w:val="22"/>
        </w:rPr>
      </w:pPr>
      <w:r w:rsidRPr="003D12AF">
        <w:rPr>
          <w:sz w:val="22"/>
          <w:szCs w:val="22"/>
        </w:rPr>
        <w:pict w14:anchorId="5F0938BA">
          <v:shape id="_x0000_i1025" type="#_x0000_t75" style="width:188.55pt;height:47.45pt">
            <v:imagedata r:id="rId16" o:title=""/>
          </v:shape>
        </w:pict>
      </w:r>
    </w:p>
    <w:p w14:paraId="4130DDF1" w14:textId="77777777" w:rsidR="00911953" w:rsidRPr="003D12AF" w:rsidRDefault="00911953" w:rsidP="002C373B">
      <w:pPr>
        <w:pStyle w:val="Heading8"/>
        <w:numPr>
          <w:ilvl w:val="0"/>
          <w:numId w:val="0"/>
        </w:numPr>
        <w:ind w:left="360"/>
        <w:rPr>
          <w:sz w:val="22"/>
          <w:szCs w:val="22"/>
        </w:rPr>
      </w:pPr>
    </w:p>
    <w:p w14:paraId="0ABF45A3" w14:textId="77777777" w:rsidR="00BD66D0" w:rsidRPr="003D12AF" w:rsidRDefault="00BD66D0">
      <w:pPr>
        <w:pStyle w:val="Heading8"/>
        <w:rPr>
          <w:sz w:val="22"/>
          <w:szCs w:val="22"/>
        </w:rPr>
      </w:pPr>
      <w:r w:rsidRPr="003D12AF">
        <w:rPr>
          <w:sz w:val="22"/>
          <w:szCs w:val="22"/>
        </w:rPr>
        <w:t>Determinants of Required Rates of Return</w:t>
      </w:r>
    </w:p>
    <w:p w14:paraId="1E64E3BD" w14:textId="4AF7B244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Rates of Return - vary over time and across investments (Exhibit 1.5)</w:t>
      </w:r>
    </w:p>
    <w:p w14:paraId="1F818BC0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47DB002B" w14:textId="77777777" w:rsidR="00DC249D" w:rsidRPr="003D12AF" w:rsidRDefault="002131FC" w:rsidP="002C373B">
      <w:pPr>
        <w:pStyle w:val="Heading1"/>
        <w:tabs>
          <w:tab w:val="clear" w:pos="288"/>
          <w:tab w:val="clear" w:pos="576"/>
          <w:tab w:val="clear" w:pos="1008"/>
          <w:tab w:val="clear" w:pos="1296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  <w:tab w:val="clear" w:pos="1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" w:right="0"/>
        <w:rPr>
          <w:sz w:val="22"/>
          <w:szCs w:val="22"/>
        </w:rPr>
      </w:pPr>
      <w:r w:rsidRPr="003D12AF">
        <w:rPr>
          <w:sz w:val="22"/>
          <w:szCs w:val="22"/>
        </w:rPr>
        <w:t xml:space="preserve">1.3.1 </w:t>
      </w:r>
      <w:r w:rsidR="00BD66D0" w:rsidRPr="003D12AF">
        <w:rPr>
          <w:sz w:val="22"/>
          <w:szCs w:val="22"/>
        </w:rPr>
        <w:t>The Real Risk-Free Rate (RRFR)</w:t>
      </w:r>
    </w:p>
    <w:p w14:paraId="37A24D09" w14:textId="465933F1" w:rsidR="00BD66D0" w:rsidRPr="003D12AF" w:rsidRDefault="00DC249D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The</w:t>
      </w:r>
      <w:r w:rsidR="00BD66D0" w:rsidRPr="003D12AF">
        <w:rPr>
          <w:sz w:val="22"/>
          <w:szCs w:val="22"/>
        </w:rPr>
        <w:t xml:space="preserve"> basic interest rate assum</w:t>
      </w:r>
      <w:r w:rsidR="00050994" w:rsidRPr="003D12AF">
        <w:rPr>
          <w:sz w:val="22"/>
          <w:szCs w:val="22"/>
        </w:rPr>
        <w:t>ing no inflation and</w:t>
      </w:r>
      <w:r w:rsidR="00893EEE" w:rsidRPr="003D12AF">
        <w:rPr>
          <w:sz w:val="22"/>
          <w:szCs w:val="22"/>
        </w:rPr>
        <w:t xml:space="preserve"> uncertainty about future flows</w:t>
      </w:r>
    </w:p>
    <w:p w14:paraId="68721CD2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Factors that influence this rate</w:t>
      </w:r>
    </w:p>
    <w:p w14:paraId="7CC89A39" w14:textId="77777777" w:rsidR="00BD66D0" w:rsidRPr="003D12AF" w:rsidRDefault="00BD66D0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 xml:space="preserve">Time preference </w:t>
      </w:r>
      <w:r w:rsidR="00050994" w:rsidRPr="003D12AF">
        <w:rPr>
          <w:sz w:val="22"/>
          <w:szCs w:val="22"/>
        </w:rPr>
        <w:t xml:space="preserve">of individuals </w:t>
      </w:r>
      <w:r w:rsidRPr="003D12AF">
        <w:rPr>
          <w:sz w:val="22"/>
          <w:szCs w:val="22"/>
        </w:rPr>
        <w:t xml:space="preserve">for </w:t>
      </w:r>
      <w:r w:rsidR="00050994" w:rsidRPr="003D12AF">
        <w:rPr>
          <w:sz w:val="22"/>
          <w:szCs w:val="22"/>
        </w:rPr>
        <w:t xml:space="preserve">the </w:t>
      </w:r>
      <w:r w:rsidRPr="003D12AF">
        <w:rPr>
          <w:sz w:val="22"/>
          <w:szCs w:val="22"/>
        </w:rPr>
        <w:t>consumption of income</w:t>
      </w:r>
    </w:p>
    <w:p w14:paraId="36D1792A" w14:textId="672A7519" w:rsidR="00BD66D0" w:rsidRPr="003D12AF" w:rsidRDefault="00BD66D0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 xml:space="preserve">Investment opportunities </w:t>
      </w:r>
      <w:r w:rsidR="00893EEE" w:rsidRPr="003D12AF">
        <w:rPr>
          <w:sz w:val="22"/>
          <w:szCs w:val="22"/>
        </w:rPr>
        <w:t xml:space="preserve">available </w:t>
      </w:r>
      <w:r w:rsidRPr="003D12AF">
        <w:rPr>
          <w:sz w:val="22"/>
          <w:szCs w:val="22"/>
        </w:rPr>
        <w:t>in the economy</w:t>
      </w:r>
    </w:p>
    <w:p w14:paraId="1D220EDC" w14:textId="2B75560E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 xml:space="preserve">This real risk-free rate is determined by the </w:t>
      </w:r>
      <w:r w:rsidR="009C4FCE" w:rsidRPr="003D12AF">
        <w:rPr>
          <w:sz w:val="22"/>
          <w:szCs w:val="22"/>
        </w:rPr>
        <w:t xml:space="preserve">long-run </w:t>
      </w:r>
      <w:r w:rsidRPr="003D12AF">
        <w:rPr>
          <w:sz w:val="22"/>
          <w:szCs w:val="22"/>
        </w:rPr>
        <w:t>real growth ra</w:t>
      </w:r>
      <w:r w:rsidR="009C4FCE" w:rsidRPr="003D12AF">
        <w:rPr>
          <w:sz w:val="22"/>
          <w:szCs w:val="22"/>
        </w:rPr>
        <w:t xml:space="preserve">te of the economy that is </w:t>
      </w:r>
      <w:r w:rsidRPr="003D12AF">
        <w:rPr>
          <w:sz w:val="22"/>
          <w:szCs w:val="22"/>
        </w:rPr>
        <w:t>impacted by growth rate of labor force, hours worked, and rate of productivity</w:t>
      </w:r>
      <w:r w:rsidR="00B01BD4" w:rsidRPr="003D12AF">
        <w:rPr>
          <w:sz w:val="22"/>
          <w:szCs w:val="22"/>
        </w:rPr>
        <w:t>.</w:t>
      </w:r>
    </w:p>
    <w:p w14:paraId="3B4473E7" w14:textId="62599F20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A positive relationship exists between the real growth rate in the economy and the</w:t>
      </w:r>
      <w:r w:rsidR="002131FC" w:rsidRPr="003D12AF">
        <w:rPr>
          <w:sz w:val="22"/>
          <w:szCs w:val="22"/>
        </w:rPr>
        <w:t xml:space="preserve"> </w:t>
      </w:r>
      <w:bookmarkStart w:id="0" w:name="_GoBack"/>
      <w:bookmarkEnd w:id="0"/>
      <w:r w:rsidRPr="003D12AF">
        <w:rPr>
          <w:sz w:val="22"/>
          <w:szCs w:val="22"/>
        </w:rPr>
        <w:t>RRFR</w:t>
      </w:r>
      <w:r w:rsidR="00B01BD4" w:rsidRPr="003D12AF">
        <w:rPr>
          <w:sz w:val="22"/>
          <w:szCs w:val="22"/>
        </w:rPr>
        <w:t>.</w:t>
      </w:r>
    </w:p>
    <w:p w14:paraId="4C1F47AC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ab/>
      </w:r>
      <w:r w:rsidRPr="003D12AF">
        <w:rPr>
          <w:snapToGrid w:val="0"/>
          <w:sz w:val="22"/>
          <w:szCs w:val="22"/>
        </w:rPr>
        <w:tab/>
      </w:r>
    </w:p>
    <w:p w14:paraId="670D7AC2" w14:textId="5034FA69" w:rsidR="00DC249D" w:rsidRPr="003D12AF" w:rsidRDefault="008E3A4E" w:rsidP="002C373B">
      <w:pPr>
        <w:pStyle w:val="Heading1"/>
        <w:tabs>
          <w:tab w:val="clear" w:pos="288"/>
          <w:tab w:val="clear" w:pos="576"/>
          <w:tab w:val="clear" w:pos="1008"/>
          <w:tab w:val="clear" w:pos="1296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  <w:tab w:val="clear" w:pos="1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" w:right="0"/>
        <w:rPr>
          <w:sz w:val="22"/>
          <w:szCs w:val="22"/>
        </w:rPr>
      </w:pPr>
      <w:r w:rsidRPr="003D12AF">
        <w:rPr>
          <w:sz w:val="22"/>
          <w:szCs w:val="22"/>
        </w:rPr>
        <w:t>1.3.2 Factors Influencing t</w:t>
      </w:r>
      <w:r w:rsidR="00BD66D0" w:rsidRPr="003D12AF">
        <w:rPr>
          <w:sz w:val="22"/>
          <w:szCs w:val="22"/>
        </w:rPr>
        <w:t>he Nominal Risk-Free Rate (NRFR)</w:t>
      </w:r>
    </w:p>
    <w:p w14:paraId="561AB5FD" w14:textId="4EF3FF2F" w:rsidR="00DC249D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Note the substantial variation in government T-bill rates over time (Exhibit 1.6)</w:t>
      </w:r>
    </w:p>
    <w:p w14:paraId="59C4A079" w14:textId="77777777" w:rsidR="00DC249D" w:rsidRPr="003D12AF" w:rsidRDefault="00DC249D" w:rsidP="002C373B">
      <w:pPr>
        <w:widowControl w:val="0"/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080"/>
        <w:jc w:val="both"/>
        <w:rPr>
          <w:snapToGrid w:val="0"/>
          <w:sz w:val="22"/>
          <w:szCs w:val="22"/>
        </w:rPr>
      </w:pPr>
    </w:p>
    <w:p w14:paraId="1427932C" w14:textId="77777777" w:rsidR="00DC249D" w:rsidRPr="003D12AF" w:rsidRDefault="00BD66D0" w:rsidP="002C373B">
      <w:pPr>
        <w:widowControl w:val="0"/>
        <w:numPr>
          <w:ilvl w:val="2"/>
          <w:numId w:val="7"/>
        </w:numPr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>Conditions in the Capital Markets - Relative ease or tightness (this is a short-run phenomenon</w:t>
      </w:r>
      <w:r w:rsidR="00DC249D" w:rsidRPr="003D12AF">
        <w:rPr>
          <w:sz w:val="22"/>
          <w:szCs w:val="22"/>
        </w:rPr>
        <w:t>)</w:t>
      </w:r>
    </w:p>
    <w:p w14:paraId="07A535FB" w14:textId="6A2D5262" w:rsidR="00BD66D0" w:rsidRPr="003D12AF" w:rsidRDefault="00BD66D0" w:rsidP="002C373B">
      <w:pPr>
        <w:widowControl w:val="0"/>
        <w:numPr>
          <w:ilvl w:val="2"/>
          <w:numId w:val="7"/>
        </w:numPr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3D12AF">
        <w:rPr>
          <w:sz w:val="22"/>
          <w:szCs w:val="22"/>
        </w:rPr>
        <w:t>Expected Rate of Inflation - this is a major influence</w:t>
      </w:r>
    </w:p>
    <w:p w14:paraId="68148E23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432"/>
        <w:jc w:val="both"/>
        <w:rPr>
          <w:snapToGrid w:val="0"/>
          <w:sz w:val="22"/>
          <w:szCs w:val="22"/>
        </w:rPr>
      </w:pPr>
    </w:p>
    <w:p w14:paraId="779DB824" w14:textId="77777777" w:rsidR="00BD66D0" w:rsidRPr="003D12AF" w:rsidRDefault="0055703F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432"/>
        <w:jc w:val="both"/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ab/>
        <w:t xml:space="preserve">            N</w:t>
      </w:r>
      <w:r w:rsidR="00BD66D0" w:rsidRPr="003D12AF">
        <w:rPr>
          <w:snapToGrid w:val="0"/>
          <w:sz w:val="22"/>
          <w:szCs w:val="22"/>
        </w:rPr>
        <w:t>RFR =</w:t>
      </w:r>
      <w:r w:rsidRPr="003D12AF">
        <w:rPr>
          <w:snapToGrid w:val="0"/>
          <w:sz w:val="22"/>
          <w:szCs w:val="22"/>
        </w:rPr>
        <w:t xml:space="preserve"> [</w:t>
      </w:r>
      <w:r w:rsidR="00BD66D0" w:rsidRPr="003D12AF">
        <w:rPr>
          <w:snapToGrid w:val="0"/>
          <w:sz w:val="22"/>
          <w:szCs w:val="22"/>
        </w:rPr>
        <w:t>(1 + RRFR</w:t>
      </w:r>
      <w:r w:rsidR="009C4FCE" w:rsidRPr="003D12AF">
        <w:rPr>
          <w:snapToGrid w:val="0"/>
          <w:sz w:val="22"/>
          <w:szCs w:val="22"/>
        </w:rPr>
        <w:t>) (</w:t>
      </w:r>
      <w:r w:rsidR="00BD66D0" w:rsidRPr="003D12AF">
        <w:rPr>
          <w:snapToGrid w:val="0"/>
          <w:sz w:val="22"/>
          <w:szCs w:val="22"/>
        </w:rPr>
        <w:t>1 + Expected Rate of Inflation)</w:t>
      </w:r>
      <w:r w:rsidRPr="003D12AF">
        <w:rPr>
          <w:snapToGrid w:val="0"/>
          <w:sz w:val="22"/>
          <w:szCs w:val="22"/>
        </w:rPr>
        <w:t>]</w:t>
      </w:r>
      <w:r w:rsidR="00BD66D0" w:rsidRPr="003D12AF">
        <w:rPr>
          <w:snapToGrid w:val="0"/>
          <w:sz w:val="22"/>
          <w:szCs w:val="22"/>
        </w:rPr>
        <w:t xml:space="preserve"> -1</w:t>
      </w:r>
    </w:p>
    <w:p w14:paraId="78AE3EB3" w14:textId="77777777" w:rsidR="00BD66D0" w:rsidRPr="003D12AF" w:rsidRDefault="007C4698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432"/>
        <w:jc w:val="both"/>
        <w:rPr>
          <w:snapToGrid w:val="0"/>
          <w:sz w:val="22"/>
          <w:szCs w:val="22"/>
        </w:rPr>
      </w:pPr>
      <w:r w:rsidRPr="003D12AF">
        <w:rPr>
          <w:sz w:val="22"/>
          <w:szCs w:val="22"/>
        </w:rPr>
        <w:pict w14:anchorId="7FD217D9">
          <v:shape id="_x0000_s1030" type="#_x0000_t75" style="position:absolute;left:0;text-align:left;margin-left:69.75pt;margin-top:11.5pt;width:166pt;height:33pt;z-index:5" o:allowincell="f">
            <v:imagedata r:id="rId17" o:title=""/>
            <w10:wrap type="topAndBottom"/>
          </v:shape>
          <o:OLEObject Type="Embed" ProgID="Equation.3" ShapeID="_x0000_s1030" DrawAspect="Content" ObjectID="_1581500364" r:id="rId18"/>
        </w:pict>
      </w:r>
    </w:p>
    <w:p w14:paraId="4FA86285" w14:textId="103D1061" w:rsidR="00BD66D0" w:rsidRPr="003D12AF" w:rsidRDefault="00BD66D0">
      <w:pPr>
        <w:widowControl w:val="0"/>
        <w:numPr>
          <w:ilvl w:val="2"/>
          <w:numId w:val="7"/>
        </w:numPr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 xml:space="preserve">The Common Effect – all factors discussed thus far affects </w:t>
      </w:r>
      <w:r w:rsidRPr="003D12AF">
        <w:rPr>
          <w:b/>
          <w:snapToGrid w:val="0"/>
          <w:sz w:val="22"/>
          <w:szCs w:val="22"/>
        </w:rPr>
        <w:t>all</w:t>
      </w:r>
      <w:r w:rsidRPr="003D12AF">
        <w:rPr>
          <w:snapToGrid w:val="0"/>
          <w:sz w:val="22"/>
          <w:szCs w:val="22"/>
        </w:rPr>
        <w:t xml:space="preserve"> investments equally</w:t>
      </w:r>
      <w:r w:rsidR="00B01BD4" w:rsidRPr="003D12AF">
        <w:rPr>
          <w:snapToGrid w:val="0"/>
          <w:sz w:val="22"/>
          <w:szCs w:val="22"/>
        </w:rPr>
        <w:t>,</w:t>
      </w:r>
      <w:r w:rsidRPr="003D12AF">
        <w:rPr>
          <w:snapToGrid w:val="0"/>
          <w:sz w:val="22"/>
          <w:szCs w:val="22"/>
        </w:rPr>
        <w:t xml:space="preserve"> irrespective of type or form.</w:t>
      </w:r>
    </w:p>
    <w:p w14:paraId="09D86E26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4F065583" w14:textId="77777777" w:rsidR="00DC249D" w:rsidRPr="003D12AF" w:rsidRDefault="00DC249D" w:rsidP="002C373B">
      <w:pPr>
        <w:pStyle w:val="Heading1"/>
        <w:tabs>
          <w:tab w:val="clear" w:pos="288"/>
          <w:tab w:val="clear" w:pos="576"/>
          <w:tab w:val="clear" w:pos="1008"/>
          <w:tab w:val="clear" w:pos="1296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  <w:tab w:val="clear" w:pos="1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" w:right="0"/>
        <w:rPr>
          <w:sz w:val="22"/>
          <w:szCs w:val="22"/>
        </w:rPr>
      </w:pPr>
      <w:r w:rsidRPr="003D12AF">
        <w:rPr>
          <w:sz w:val="22"/>
          <w:szCs w:val="22"/>
        </w:rPr>
        <w:t xml:space="preserve">1.3.3 </w:t>
      </w:r>
      <w:r w:rsidR="00BD66D0" w:rsidRPr="003D12AF">
        <w:rPr>
          <w:sz w:val="22"/>
          <w:szCs w:val="22"/>
        </w:rPr>
        <w:t>Risk Premium</w:t>
      </w:r>
    </w:p>
    <w:p w14:paraId="410B54C9" w14:textId="67BE6C04" w:rsidR="00BD66D0" w:rsidRPr="003D12AF" w:rsidRDefault="00DC249D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V</w:t>
      </w:r>
      <w:r w:rsidR="00BD66D0" w:rsidRPr="003D12AF">
        <w:rPr>
          <w:sz w:val="22"/>
          <w:szCs w:val="22"/>
        </w:rPr>
        <w:t>aries from asset to asset and is responsible for differences in rates of return between assets at a certain point in time.  The major determinants of the risk premium are:</w:t>
      </w:r>
    </w:p>
    <w:p w14:paraId="6AC086D2" w14:textId="11AA04ED" w:rsidR="00BD66D0" w:rsidRPr="003D12AF" w:rsidRDefault="00BD66D0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Business risk – uncertainty of income flows caused by the nature of a firm’s business.  Sales volatility and operating leverage determine the level of business risk</w:t>
      </w:r>
      <w:r w:rsidR="00B01BD4" w:rsidRPr="003D12AF">
        <w:rPr>
          <w:sz w:val="22"/>
          <w:szCs w:val="22"/>
        </w:rPr>
        <w:t>.</w:t>
      </w:r>
    </w:p>
    <w:p w14:paraId="77012464" w14:textId="77777777" w:rsidR="00BD66D0" w:rsidRPr="003D12AF" w:rsidRDefault="00BD66D0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 xml:space="preserve">Financial risk – uncertainty caused by the use of debt financing </w:t>
      </w:r>
    </w:p>
    <w:p w14:paraId="01DE0512" w14:textId="77777777" w:rsidR="00BD66D0" w:rsidRPr="003D12AF" w:rsidRDefault="00BD66D0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Liquidity risk - the inability to buy or sell an asset quickly with little price change.</w:t>
      </w:r>
    </w:p>
    <w:p w14:paraId="3D753704" w14:textId="77777777" w:rsidR="00BD66D0" w:rsidRPr="003D12AF" w:rsidRDefault="00BD66D0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Exchange rate risk - the uncertainty of returns on securities acquired in a foreign currency.</w:t>
      </w:r>
    </w:p>
    <w:p w14:paraId="54CC6620" w14:textId="77777777" w:rsidR="00BD66D0" w:rsidRPr="003D12AF" w:rsidRDefault="00BD66D0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lastRenderedPageBreak/>
        <w:t xml:space="preserve">Country risk </w:t>
      </w:r>
      <w:r w:rsidR="00FE4F4E" w:rsidRPr="003D12AF">
        <w:rPr>
          <w:sz w:val="22"/>
          <w:szCs w:val="22"/>
        </w:rPr>
        <w:t>–</w:t>
      </w:r>
      <w:r w:rsidRPr="003D12AF">
        <w:rPr>
          <w:sz w:val="22"/>
          <w:szCs w:val="22"/>
        </w:rPr>
        <w:t xml:space="preserve"> </w:t>
      </w:r>
      <w:r w:rsidR="00FE4F4E" w:rsidRPr="003D12AF">
        <w:rPr>
          <w:sz w:val="22"/>
          <w:szCs w:val="22"/>
        </w:rPr>
        <w:t xml:space="preserve">also called political risk.  It is the </w:t>
      </w:r>
      <w:r w:rsidRPr="003D12AF">
        <w:rPr>
          <w:sz w:val="22"/>
          <w:szCs w:val="22"/>
        </w:rPr>
        <w:t>uncertainty due to the possibility of major political or economic change in the country where an investment has been made.</w:t>
      </w:r>
    </w:p>
    <w:p w14:paraId="4076CA05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2830E6FA" w14:textId="77777777" w:rsidR="00BD66D0" w:rsidRPr="003D12AF" w:rsidRDefault="00DC249D" w:rsidP="002C373B">
      <w:pPr>
        <w:pStyle w:val="Heading1"/>
        <w:tabs>
          <w:tab w:val="clear" w:pos="288"/>
          <w:tab w:val="clear" w:pos="576"/>
          <w:tab w:val="clear" w:pos="1008"/>
          <w:tab w:val="clear" w:pos="1296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  <w:tab w:val="clear" w:pos="1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" w:right="0"/>
        <w:rPr>
          <w:sz w:val="22"/>
          <w:szCs w:val="22"/>
        </w:rPr>
      </w:pPr>
      <w:r w:rsidRPr="003D12AF">
        <w:rPr>
          <w:sz w:val="22"/>
          <w:szCs w:val="22"/>
        </w:rPr>
        <w:t xml:space="preserve">1.3.4 </w:t>
      </w:r>
      <w:r w:rsidR="00BD66D0" w:rsidRPr="003D12AF">
        <w:rPr>
          <w:sz w:val="22"/>
          <w:szCs w:val="22"/>
        </w:rPr>
        <w:t>Risk Premium and Portfolio Theory</w:t>
      </w:r>
    </w:p>
    <w:p w14:paraId="7719D165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The relevant risk measure for an individual asset is its comovemen</w:t>
      </w:r>
      <w:r w:rsidR="008C3AB3" w:rsidRPr="003D12AF">
        <w:rPr>
          <w:sz w:val="22"/>
          <w:szCs w:val="22"/>
        </w:rPr>
        <w:t>t with the market portfolio</w:t>
      </w:r>
    </w:p>
    <w:p w14:paraId="348301F5" w14:textId="77777777" w:rsidR="008C3AB3" w:rsidRPr="003D12AF" w:rsidRDefault="008C3AB3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This comovement, which is measured by the asset’s covariance with the market portfolio, is referred to as an asset’s systematic risk</w:t>
      </w:r>
    </w:p>
    <w:p w14:paraId="20EEEDFF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20"/>
        <w:jc w:val="both"/>
        <w:rPr>
          <w:snapToGrid w:val="0"/>
          <w:sz w:val="22"/>
          <w:szCs w:val="22"/>
        </w:rPr>
      </w:pPr>
    </w:p>
    <w:p w14:paraId="092D08E3" w14:textId="77777777" w:rsidR="00BD66D0" w:rsidRPr="003D12AF" w:rsidRDefault="00DC249D" w:rsidP="002C373B">
      <w:pPr>
        <w:pStyle w:val="Heading1"/>
        <w:tabs>
          <w:tab w:val="clear" w:pos="288"/>
          <w:tab w:val="clear" w:pos="576"/>
          <w:tab w:val="clear" w:pos="1008"/>
          <w:tab w:val="clear" w:pos="1296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clear" w:pos="10368"/>
          <w:tab w:val="clear" w:pos="1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" w:right="0"/>
        <w:rPr>
          <w:sz w:val="22"/>
          <w:szCs w:val="22"/>
        </w:rPr>
      </w:pPr>
      <w:r w:rsidRPr="003D12AF">
        <w:rPr>
          <w:sz w:val="22"/>
          <w:szCs w:val="22"/>
        </w:rPr>
        <w:t xml:space="preserve">1.3.5 </w:t>
      </w:r>
      <w:r w:rsidR="00BD66D0" w:rsidRPr="003D12AF">
        <w:rPr>
          <w:sz w:val="22"/>
          <w:szCs w:val="22"/>
        </w:rPr>
        <w:t>Fundamental Risk versus Systematic Risk</w:t>
      </w:r>
    </w:p>
    <w:p w14:paraId="1FBA9740" w14:textId="77777777" w:rsidR="008C3AB3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Fundamental risk comprises business risk, financial risk, liquidity risk, exchange rate ris</w:t>
      </w:r>
      <w:r w:rsidR="008C3AB3" w:rsidRPr="003D12AF">
        <w:rPr>
          <w:sz w:val="22"/>
          <w:szCs w:val="22"/>
        </w:rPr>
        <w:t>k, and country risk</w:t>
      </w:r>
    </w:p>
    <w:p w14:paraId="54494139" w14:textId="77777777" w:rsidR="00BD66D0" w:rsidRPr="003D12AF" w:rsidRDefault="008C3AB3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S</w:t>
      </w:r>
      <w:r w:rsidR="00BD66D0" w:rsidRPr="003D12AF">
        <w:rPr>
          <w:sz w:val="22"/>
          <w:szCs w:val="22"/>
        </w:rPr>
        <w:t>ystematic risk refers to the portion of an individual asset’s total variance attributable to the variability of the total market portfolio</w:t>
      </w:r>
    </w:p>
    <w:p w14:paraId="195812C8" w14:textId="77777777" w:rsidR="00FE4F4E" w:rsidRPr="003D12AF" w:rsidRDefault="00FE4F4E" w:rsidP="00FE4F4E">
      <w:pPr>
        <w:rPr>
          <w:sz w:val="22"/>
          <w:szCs w:val="22"/>
        </w:rPr>
      </w:pPr>
    </w:p>
    <w:p w14:paraId="62D54BC9" w14:textId="0F42BD4F" w:rsidR="00DC249D" w:rsidRPr="003D12AF" w:rsidRDefault="00DC249D" w:rsidP="00FE4F4E">
      <w:pPr>
        <w:ind w:left="720" w:hanging="360"/>
        <w:rPr>
          <w:sz w:val="22"/>
          <w:szCs w:val="22"/>
        </w:rPr>
      </w:pPr>
      <w:r w:rsidRPr="003D12AF">
        <w:rPr>
          <w:sz w:val="22"/>
          <w:szCs w:val="22"/>
        </w:rPr>
        <w:t>1.3.6 Summary of Required Rate of Return</w:t>
      </w:r>
    </w:p>
    <w:p w14:paraId="2BC942A6" w14:textId="0E6529BD" w:rsidR="00FE4F4E" w:rsidRPr="003D12AF" w:rsidRDefault="00FE4F4E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Research studies have generally concluded that a significant relationship exists between the market measure of risk and the fundamental measures of risk</w:t>
      </w:r>
    </w:p>
    <w:p w14:paraId="630EB1F8" w14:textId="77777777" w:rsidR="00E93676" w:rsidRPr="003D12AF" w:rsidRDefault="00E93676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Minimum acceptable rate of return from an investment. Determined by the economy’s RRFR, the variables that influence the NRFR, and the risk premium on the investment</w:t>
      </w:r>
    </w:p>
    <w:p w14:paraId="45CE64DD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20"/>
        <w:jc w:val="both"/>
        <w:rPr>
          <w:snapToGrid w:val="0"/>
          <w:sz w:val="22"/>
          <w:szCs w:val="22"/>
        </w:rPr>
      </w:pPr>
    </w:p>
    <w:p w14:paraId="1A005019" w14:textId="77777777" w:rsidR="00E93676" w:rsidRPr="003D12AF" w:rsidRDefault="00E93676" w:rsidP="002C373B">
      <w:pPr>
        <w:widowControl w:val="0"/>
        <w:numPr>
          <w:ilvl w:val="2"/>
          <w:numId w:val="37"/>
        </w:numPr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3D12AF">
        <w:rPr>
          <w:snapToGrid w:val="0"/>
          <w:sz w:val="22"/>
          <w:szCs w:val="22"/>
        </w:rPr>
        <w:t>Measures and Sources of Risk</w:t>
      </w:r>
    </w:p>
    <w:p w14:paraId="190D9272" w14:textId="22FCD5FC" w:rsidR="00E93676" w:rsidRPr="003D12AF" w:rsidRDefault="00E93676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Business risk</w:t>
      </w:r>
    </w:p>
    <w:p w14:paraId="38B7DE34" w14:textId="77777777" w:rsidR="00E93676" w:rsidRPr="003D12AF" w:rsidRDefault="00E93676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Financial risk</w:t>
      </w:r>
    </w:p>
    <w:p w14:paraId="00D452FA" w14:textId="77777777" w:rsidR="00E93676" w:rsidRPr="003D12AF" w:rsidRDefault="00E93676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Liquidity risk</w:t>
      </w:r>
    </w:p>
    <w:p w14:paraId="6C7FEB61" w14:textId="77777777" w:rsidR="00E93676" w:rsidRPr="003D12AF" w:rsidRDefault="00E93676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Exchange rate risk</w:t>
      </w:r>
    </w:p>
    <w:p w14:paraId="7BA04B2B" w14:textId="11F139E2" w:rsidR="00BD66D0" w:rsidRPr="003D12AF" w:rsidRDefault="00E93676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Country risk</w:t>
      </w:r>
      <w:r w:rsidRPr="003D12AF" w:rsidDel="00E93676">
        <w:rPr>
          <w:sz w:val="22"/>
          <w:szCs w:val="22"/>
        </w:rPr>
        <w:t xml:space="preserve"> </w:t>
      </w:r>
    </w:p>
    <w:p w14:paraId="4F70A4E9" w14:textId="77777777" w:rsidR="00ED4042" w:rsidRPr="003D12AF" w:rsidRDefault="00ED4042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2F736BF7" w14:textId="6E46453A" w:rsidR="00BD66D0" w:rsidRPr="003D12AF" w:rsidRDefault="00BD66D0" w:rsidP="002C373B">
      <w:pPr>
        <w:pStyle w:val="Heading8"/>
        <w:numPr>
          <w:ilvl w:val="0"/>
          <w:numId w:val="38"/>
        </w:numPr>
        <w:rPr>
          <w:sz w:val="22"/>
          <w:szCs w:val="22"/>
        </w:rPr>
      </w:pPr>
      <w:r w:rsidRPr="003D12AF">
        <w:rPr>
          <w:sz w:val="22"/>
          <w:szCs w:val="22"/>
        </w:rPr>
        <w:t>Relationship between Risk and Return</w:t>
      </w:r>
    </w:p>
    <w:p w14:paraId="2FC01DCF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Security Market Line (Exhibit 1.7)</w:t>
      </w:r>
    </w:p>
    <w:p w14:paraId="78444AD0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20"/>
        <w:jc w:val="both"/>
        <w:rPr>
          <w:snapToGrid w:val="0"/>
          <w:sz w:val="22"/>
          <w:szCs w:val="22"/>
        </w:rPr>
      </w:pPr>
    </w:p>
    <w:p w14:paraId="6EF70BBD" w14:textId="77777777" w:rsidR="00BF6690" w:rsidRPr="003D12AF" w:rsidRDefault="00BF6690" w:rsidP="002C373B">
      <w:pPr>
        <w:ind w:left="720" w:hanging="360"/>
        <w:rPr>
          <w:sz w:val="22"/>
          <w:szCs w:val="22"/>
        </w:rPr>
      </w:pPr>
      <w:r w:rsidRPr="003D12AF">
        <w:rPr>
          <w:sz w:val="22"/>
          <w:szCs w:val="22"/>
        </w:rPr>
        <w:t xml:space="preserve">1.4.1 </w:t>
      </w:r>
      <w:r w:rsidR="00BD66D0" w:rsidRPr="003D12AF">
        <w:rPr>
          <w:sz w:val="22"/>
          <w:szCs w:val="22"/>
        </w:rPr>
        <w:t>Movements along the SML</w:t>
      </w:r>
    </w:p>
    <w:p w14:paraId="168A4D5F" w14:textId="1895C90C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A movement along the line indicates a change in the level of risk for a given company or asset.  (Exhibit 1.</w:t>
      </w:r>
      <w:r w:rsidR="00BF6690" w:rsidRPr="003D12AF">
        <w:rPr>
          <w:sz w:val="22"/>
          <w:szCs w:val="22"/>
        </w:rPr>
        <w:t>7</w:t>
      </w:r>
      <w:r w:rsidRPr="003D12AF">
        <w:rPr>
          <w:sz w:val="22"/>
          <w:szCs w:val="22"/>
        </w:rPr>
        <w:t>)</w:t>
      </w:r>
    </w:p>
    <w:p w14:paraId="52C6E4CA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33440AD3" w14:textId="77777777" w:rsidR="00BF6690" w:rsidRPr="003D12AF" w:rsidRDefault="00BF6690" w:rsidP="002C373B">
      <w:pPr>
        <w:ind w:left="720" w:hanging="360"/>
        <w:rPr>
          <w:sz w:val="22"/>
          <w:szCs w:val="22"/>
        </w:rPr>
      </w:pPr>
      <w:r w:rsidRPr="003D12AF">
        <w:rPr>
          <w:sz w:val="22"/>
          <w:szCs w:val="22"/>
        </w:rPr>
        <w:t xml:space="preserve">1.4.2 </w:t>
      </w:r>
      <w:r w:rsidR="00BD66D0" w:rsidRPr="003D12AF">
        <w:rPr>
          <w:sz w:val="22"/>
          <w:szCs w:val="22"/>
        </w:rPr>
        <w:t>Changes in the Slope of the SML</w:t>
      </w:r>
    </w:p>
    <w:p w14:paraId="54601AA4" w14:textId="734A54E2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 xml:space="preserve">A change in the slope of the SML indicates a change in the attitudes of investors toward risk--i.e., a change in the required risk premium for a given asset or asset class.  (Exhibit </w:t>
      </w:r>
      <w:r w:rsidR="005D6858" w:rsidRPr="003D12AF">
        <w:rPr>
          <w:sz w:val="22"/>
          <w:szCs w:val="22"/>
        </w:rPr>
        <w:t xml:space="preserve">1.8, </w:t>
      </w:r>
      <w:r w:rsidRPr="003D12AF">
        <w:rPr>
          <w:sz w:val="22"/>
          <w:szCs w:val="22"/>
        </w:rPr>
        <w:t>1.</w:t>
      </w:r>
      <w:r w:rsidR="00BF6690" w:rsidRPr="003D12AF">
        <w:rPr>
          <w:sz w:val="22"/>
          <w:szCs w:val="22"/>
        </w:rPr>
        <w:t>9</w:t>
      </w:r>
      <w:r w:rsidR="005D6858" w:rsidRPr="003D12AF">
        <w:rPr>
          <w:sz w:val="22"/>
          <w:szCs w:val="22"/>
        </w:rPr>
        <w:t>, 1.10</w:t>
      </w:r>
      <w:r w:rsidRPr="003D12AF">
        <w:rPr>
          <w:sz w:val="22"/>
          <w:szCs w:val="22"/>
        </w:rPr>
        <w:t>)</w:t>
      </w:r>
    </w:p>
    <w:p w14:paraId="05EAE531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1F673396" w14:textId="7D76A9EA" w:rsidR="00BD66D0" w:rsidRPr="003D12AF" w:rsidRDefault="005D6858" w:rsidP="002C373B">
      <w:pPr>
        <w:ind w:left="720" w:hanging="360"/>
        <w:rPr>
          <w:sz w:val="22"/>
          <w:szCs w:val="22"/>
        </w:rPr>
      </w:pPr>
      <w:r w:rsidRPr="003D12AF">
        <w:rPr>
          <w:sz w:val="22"/>
          <w:szCs w:val="22"/>
        </w:rPr>
        <w:t>1.4.3 Changes in Capital Market Conditions or Expected Inflation</w:t>
      </w:r>
      <w:r w:rsidRPr="003D12AF" w:rsidDel="005D6858">
        <w:rPr>
          <w:sz w:val="22"/>
          <w:szCs w:val="22"/>
        </w:rPr>
        <w:t xml:space="preserve"> </w:t>
      </w:r>
      <w:r w:rsidR="00963E08" w:rsidRPr="003D12AF">
        <w:rPr>
          <w:sz w:val="22"/>
          <w:szCs w:val="22"/>
        </w:rPr>
        <w:t>(Exhibit 1.1</w:t>
      </w:r>
      <w:r w:rsidRPr="003D12AF">
        <w:rPr>
          <w:sz w:val="22"/>
          <w:szCs w:val="22"/>
        </w:rPr>
        <w:t>1</w:t>
      </w:r>
      <w:r w:rsidR="00BD66D0" w:rsidRPr="003D12AF">
        <w:rPr>
          <w:sz w:val="22"/>
          <w:szCs w:val="22"/>
        </w:rPr>
        <w:t>)</w:t>
      </w:r>
    </w:p>
    <w:p w14:paraId="5532D077" w14:textId="77777777" w:rsidR="00BD66D0" w:rsidRPr="003D12AF" w:rsidRDefault="00BD66D0" w:rsidP="002C373B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Can be caused by a change in any of the following:</w:t>
      </w:r>
    </w:p>
    <w:p w14:paraId="1974504E" w14:textId="77777777" w:rsidR="00BD66D0" w:rsidRPr="003D12AF" w:rsidRDefault="00BD66D0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 xml:space="preserve">expected real growth in the economy </w:t>
      </w:r>
    </w:p>
    <w:p w14:paraId="1E398978" w14:textId="77777777" w:rsidR="00BD66D0" w:rsidRPr="003D12AF" w:rsidRDefault="00BD66D0" w:rsidP="002C373B">
      <w:pPr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3D12AF">
        <w:rPr>
          <w:sz w:val="22"/>
          <w:szCs w:val="22"/>
        </w:rPr>
        <w:t>capital market conditions</w:t>
      </w:r>
    </w:p>
    <w:p w14:paraId="205B7EDD" w14:textId="4C617AEE" w:rsidR="00BD66D0" w:rsidRPr="003D12AF" w:rsidRDefault="00BD66D0" w:rsidP="002C373B">
      <w:pPr>
        <w:numPr>
          <w:ilvl w:val="1"/>
          <w:numId w:val="27"/>
        </w:numPr>
        <w:autoSpaceDE w:val="0"/>
        <w:autoSpaceDN w:val="0"/>
        <w:adjustRightInd w:val="0"/>
        <w:rPr>
          <w:snapToGrid w:val="0"/>
          <w:sz w:val="22"/>
          <w:szCs w:val="22"/>
        </w:rPr>
      </w:pPr>
      <w:r w:rsidRPr="003D12AF">
        <w:rPr>
          <w:sz w:val="22"/>
          <w:szCs w:val="22"/>
        </w:rPr>
        <w:t>expected rate of inflation</w:t>
      </w:r>
    </w:p>
    <w:p w14:paraId="3D5D8943" w14:textId="77777777" w:rsidR="005D6858" w:rsidRPr="003D12AF" w:rsidRDefault="005D6858">
      <w:pPr>
        <w:widowControl w:val="0"/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2"/>
          <w:szCs w:val="22"/>
        </w:rPr>
      </w:pPr>
    </w:p>
    <w:p w14:paraId="4867AD3A" w14:textId="3EB8776E" w:rsidR="009E2D4C" w:rsidRPr="003D12AF" w:rsidRDefault="005D6858" w:rsidP="002C373B">
      <w:pPr>
        <w:ind w:left="720" w:hanging="360"/>
        <w:rPr>
          <w:sz w:val="22"/>
          <w:szCs w:val="22"/>
        </w:rPr>
      </w:pPr>
      <w:r w:rsidRPr="003D12AF">
        <w:rPr>
          <w:sz w:val="22"/>
          <w:szCs w:val="22"/>
        </w:rPr>
        <w:t xml:space="preserve">1.4.4 </w:t>
      </w:r>
      <w:r w:rsidR="00BD66D0" w:rsidRPr="003D12AF">
        <w:rPr>
          <w:sz w:val="22"/>
          <w:szCs w:val="22"/>
        </w:rPr>
        <w:t>Summary of Changes in the Required Rate of Return</w:t>
      </w:r>
    </w:p>
    <w:p w14:paraId="194BAE17" w14:textId="428BA79A" w:rsidR="00BD66D0" w:rsidRPr="003D12AF" w:rsidRDefault="009E2D4C" w:rsidP="009E2D4C">
      <w:pPr>
        <w:widowControl w:val="0"/>
        <w:numPr>
          <w:ilvl w:val="0"/>
          <w:numId w:val="22"/>
        </w:num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>A movement along the SML</w:t>
      </w:r>
      <w:r w:rsidR="00751682" w:rsidRPr="003D12AF">
        <w:rPr>
          <w:snapToGrid w:val="0"/>
          <w:sz w:val="22"/>
          <w:szCs w:val="22"/>
        </w:rPr>
        <w:t xml:space="preserve"> demonstrates a change in the risk characteristics of a specific investment, such as a change in its business risk, its financial risk, or its beta</w:t>
      </w:r>
      <w:r w:rsidR="00B01BD4" w:rsidRPr="003D12AF">
        <w:rPr>
          <w:snapToGrid w:val="0"/>
          <w:sz w:val="22"/>
          <w:szCs w:val="22"/>
        </w:rPr>
        <w:t>.</w:t>
      </w:r>
    </w:p>
    <w:p w14:paraId="07626474" w14:textId="02A99EEF" w:rsidR="009E2D4C" w:rsidRPr="003D12AF" w:rsidRDefault="009E2D4C" w:rsidP="009E2D4C">
      <w:pPr>
        <w:widowControl w:val="0"/>
        <w:numPr>
          <w:ilvl w:val="0"/>
          <w:numId w:val="22"/>
        </w:num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lastRenderedPageBreak/>
        <w:t>A change in the slope of the SML</w:t>
      </w:r>
      <w:r w:rsidR="00751682" w:rsidRPr="003D12AF">
        <w:rPr>
          <w:snapToGrid w:val="0"/>
          <w:sz w:val="22"/>
          <w:szCs w:val="22"/>
        </w:rPr>
        <w:t xml:space="preserve"> occurs in response to a change in the attitude of investors toward risk</w:t>
      </w:r>
      <w:r w:rsidR="00B01BD4" w:rsidRPr="003D12AF">
        <w:rPr>
          <w:snapToGrid w:val="0"/>
          <w:sz w:val="22"/>
          <w:szCs w:val="22"/>
        </w:rPr>
        <w:t>.</w:t>
      </w:r>
    </w:p>
    <w:p w14:paraId="64B45D2D" w14:textId="4042DE16" w:rsidR="009E2D4C" w:rsidRPr="003D12AF" w:rsidRDefault="009E2D4C" w:rsidP="009E2D4C">
      <w:pPr>
        <w:widowControl w:val="0"/>
        <w:numPr>
          <w:ilvl w:val="0"/>
          <w:numId w:val="22"/>
        </w:num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2"/>
          <w:szCs w:val="22"/>
        </w:rPr>
      </w:pPr>
      <w:r w:rsidRPr="003D12AF">
        <w:rPr>
          <w:snapToGrid w:val="0"/>
          <w:sz w:val="22"/>
          <w:szCs w:val="22"/>
        </w:rPr>
        <w:t>A shift in the SML</w:t>
      </w:r>
      <w:r w:rsidR="00751682" w:rsidRPr="003D12AF">
        <w:rPr>
          <w:snapToGrid w:val="0"/>
          <w:sz w:val="22"/>
          <w:szCs w:val="22"/>
        </w:rPr>
        <w:t xml:space="preserve"> reflects a change in the expected real growth, a change in market conditions, or a change in the expected rate of inflation</w:t>
      </w:r>
      <w:r w:rsidR="00B01BD4" w:rsidRPr="003D12AF">
        <w:rPr>
          <w:snapToGrid w:val="0"/>
          <w:sz w:val="22"/>
          <w:szCs w:val="22"/>
        </w:rPr>
        <w:t>.</w:t>
      </w:r>
    </w:p>
    <w:p w14:paraId="76677989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sz w:val="22"/>
          <w:szCs w:val="22"/>
        </w:rPr>
      </w:pPr>
    </w:p>
    <w:p w14:paraId="7AAE7613" w14:textId="77777777" w:rsidR="00BD66D0" w:rsidRPr="003D12AF" w:rsidRDefault="00BD66D0">
      <w:pPr>
        <w:pStyle w:val="Heading9"/>
        <w:numPr>
          <w:ilvl w:val="0"/>
          <w:numId w:val="0"/>
        </w:numPr>
        <w:ind w:left="360"/>
        <w:rPr>
          <w:sz w:val="22"/>
          <w:szCs w:val="22"/>
        </w:rPr>
      </w:pPr>
    </w:p>
    <w:p w14:paraId="11F4BA1B" w14:textId="77777777" w:rsidR="00BD66D0" w:rsidRPr="003D12AF" w:rsidRDefault="00BD66D0">
      <w:pPr>
        <w:widowControl w:val="0"/>
        <w:tabs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snapToGrid w:val="0"/>
          <w:sz w:val="22"/>
          <w:szCs w:val="22"/>
        </w:rPr>
      </w:pPr>
    </w:p>
    <w:p w14:paraId="74945361" w14:textId="77777777" w:rsidR="00BD66D0" w:rsidRPr="003D12AF" w:rsidRDefault="00BD66D0">
      <w:pPr>
        <w:widowControl w:val="0"/>
        <w:tabs>
          <w:tab w:val="left" w:pos="288"/>
          <w:tab w:val="left" w:pos="576"/>
          <w:tab w:val="left" w:pos="1008"/>
          <w:tab w:val="left" w:pos="1296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720" w:right="-288"/>
        <w:rPr>
          <w:snapToGrid w:val="0"/>
          <w:sz w:val="22"/>
          <w:szCs w:val="22"/>
        </w:rPr>
      </w:pPr>
    </w:p>
    <w:sectPr w:rsidR="00BD66D0" w:rsidRPr="003D12AF">
      <w:footerReference w:type="even" r:id="rId19"/>
      <w:footerReference w:type="default" r:id="rId20"/>
      <w:footnotePr>
        <w:numRestart w:val="eachSect"/>
      </w:footnotePr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E9C01" w14:textId="77777777" w:rsidR="007C4698" w:rsidRDefault="007C4698">
      <w:r>
        <w:separator/>
      </w:r>
    </w:p>
  </w:endnote>
  <w:endnote w:type="continuationSeparator" w:id="0">
    <w:p w14:paraId="59635C09" w14:textId="77777777" w:rsidR="007C4698" w:rsidRDefault="007C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0DDD6" w14:textId="77777777" w:rsidR="00531E32" w:rsidRDefault="00531E32">
    <w:pPr>
      <w:widowControl w:val="0"/>
      <w:ind w:left="4320" w:right="-1440"/>
      <w:rPr>
        <w:rFonts w:ascii="Courier" w:hAnsi="Courier"/>
        <w:snapToGrid w:val="0"/>
        <w:sz w:val="24"/>
      </w:rPr>
    </w:pPr>
    <w:r>
      <w:rPr>
        <w:rFonts w:ascii="Courier" w:hAnsi="Courier"/>
        <w:snapToGrid w:val="0"/>
        <w:sz w:val="24"/>
      </w:rPr>
      <w:t xml:space="preserve">1 - </w:t>
    </w:r>
    <w:r>
      <w:rPr>
        <w:rFonts w:ascii="Courier" w:hAnsi="Courier"/>
        <w:snapToGrid w:val="0"/>
        <w:sz w:val="24"/>
      </w:rPr>
      <w:pgNum/>
    </w:r>
    <w:r>
      <w:rPr>
        <w:rFonts w:ascii="Courier" w:hAnsi="Courier"/>
        <w:snapToGrid w:val="0"/>
        <w:sz w:val="24"/>
      </w:rPr>
      <w:t xml:space="preserve">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C63D1" w14:textId="77777777" w:rsidR="00531E32" w:rsidRPr="002C373B" w:rsidRDefault="00531E32">
    <w:pPr>
      <w:widowControl w:val="0"/>
      <w:ind w:left="-1440" w:right="-1440"/>
      <w:jc w:val="center"/>
      <w:rPr>
        <w:snapToGrid w:val="0"/>
        <w:sz w:val="22"/>
        <w:szCs w:val="22"/>
      </w:rPr>
    </w:pPr>
    <w:r w:rsidRPr="002C373B">
      <w:rPr>
        <w:snapToGrid w:val="0"/>
        <w:sz w:val="22"/>
        <w:szCs w:val="22"/>
      </w:rPr>
      <w:t xml:space="preserve">1 - </w:t>
    </w:r>
    <w:r w:rsidRPr="002C373B">
      <w:rPr>
        <w:snapToGrid w:val="0"/>
        <w:sz w:val="22"/>
        <w:szCs w:val="22"/>
      </w:rPr>
      <w:pgNum/>
    </w:r>
  </w:p>
  <w:p w14:paraId="490DF2F6" w14:textId="77777777" w:rsidR="001C5866" w:rsidRDefault="001C5866">
    <w:pPr>
      <w:widowControl w:val="0"/>
      <w:ind w:left="-1440" w:right="-1440"/>
      <w:jc w:val="center"/>
      <w:rPr>
        <w:snapToGrid w:val="0"/>
        <w:sz w:val="24"/>
      </w:rPr>
    </w:pPr>
  </w:p>
  <w:p w14:paraId="372E9D63" w14:textId="77777777" w:rsidR="001C5866" w:rsidRDefault="001C5866" w:rsidP="001C5866">
    <w:pPr>
      <w:widowControl w:val="0"/>
      <w:ind w:right="4"/>
      <w:jc w:val="center"/>
      <w:rPr>
        <w:snapToGrid w:val="0"/>
        <w:sz w:val="24"/>
      </w:rPr>
    </w:pPr>
    <w:r w:rsidRPr="00AD11E3">
      <w:t>© 2019 Cengage. May not be scanned, copied or duplicated, or posted to a publicly accessible website, in whole or in part.</w:t>
    </w:r>
  </w:p>
  <w:p w14:paraId="6DF92810" w14:textId="77777777" w:rsidR="00531E32" w:rsidRDefault="00531E32">
    <w:pPr>
      <w:widowControl w:val="0"/>
      <w:ind w:left="-1440" w:right="-1440"/>
      <w:jc w:val="center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334FC" w14:textId="77777777" w:rsidR="007C4698" w:rsidRDefault="007C4698">
      <w:r>
        <w:separator/>
      </w:r>
    </w:p>
  </w:footnote>
  <w:footnote w:type="continuationSeparator" w:id="0">
    <w:p w14:paraId="35B2D556" w14:textId="77777777" w:rsidR="007C4698" w:rsidRDefault="007C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7C0"/>
    <w:multiLevelType w:val="hybridMultilevel"/>
    <w:tmpl w:val="D85AA6AC"/>
    <w:lvl w:ilvl="0" w:tplc="10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>
    <w:nsid w:val="09F22993"/>
    <w:multiLevelType w:val="hybridMultilevel"/>
    <w:tmpl w:val="4FD057AC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1C1FD2"/>
    <w:multiLevelType w:val="hybridMultilevel"/>
    <w:tmpl w:val="02A2525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2373A1"/>
    <w:multiLevelType w:val="hybridMultilevel"/>
    <w:tmpl w:val="60E6EB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8661C"/>
    <w:multiLevelType w:val="hybridMultilevel"/>
    <w:tmpl w:val="3D94E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04BD9"/>
    <w:multiLevelType w:val="hybridMultilevel"/>
    <w:tmpl w:val="14D21DF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973661"/>
    <w:multiLevelType w:val="hybridMultilevel"/>
    <w:tmpl w:val="D44851D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CC453FB"/>
    <w:multiLevelType w:val="multilevel"/>
    <w:tmpl w:val="510CBF8E"/>
    <w:lvl w:ilvl="0">
      <w:start w:val="2"/>
      <w:numFmt w:val="decimal"/>
      <w:lvlText w:val="1.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21474C7C"/>
    <w:multiLevelType w:val="hybridMultilevel"/>
    <w:tmpl w:val="03CAA202"/>
    <w:lvl w:ilvl="0" w:tplc="10090005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>
    <w:nsid w:val="252712E7"/>
    <w:multiLevelType w:val="hybridMultilevel"/>
    <w:tmpl w:val="D35616C6"/>
    <w:lvl w:ilvl="0" w:tplc="040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>
    <w:nsid w:val="253C3A01"/>
    <w:multiLevelType w:val="multilevel"/>
    <w:tmpl w:val="7F241DB2"/>
    <w:lvl w:ilvl="0">
      <w:start w:val="3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58818D4"/>
    <w:multiLevelType w:val="hybridMultilevel"/>
    <w:tmpl w:val="8018A24A"/>
    <w:lvl w:ilvl="0" w:tplc="457636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4D6D94"/>
    <w:multiLevelType w:val="hybridMultilevel"/>
    <w:tmpl w:val="2A5C4EAC"/>
    <w:lvl w:ilvl="0" w:tplc="98765BA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A23456C"/>
    <w:multiLevelType w:val="multilevel"/>
    <w:tmpl w:val="D05A861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3"/>
      <w:numFmt w:val="upperLetter"/>
      <w:pStyle w:val="Heading7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2A6A57A4"/>
    <w:multiLevelType w:val="hybridMultilevel"/>
    <w:tmpl w:val="E90CF7C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1345FA6"/>
    <w:multiLevelType w:val="hybridMultilevel"/>
    <w:tmpl w:val="82AC9CD6"/>
    <w:lvl w:ilvl="0" w:tplc="457636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25C225F"/>
    <w:multiLevelType w:val="multilevel"/>
    <w:tmpl w:val="0436074C"/>
    <w:lvl w:ilvl="0">
      <w:start w:val="1"/>
      <w:numFmt w:val="decimal"/>
      <w:lvlText w:val="1.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330457F2"/>
    <w:multiLevelType w:val="multilevel"/>
    <w:tmpl w:val="8592B7B0"/>
    <w:lvl w:ilvl="0">
      <w:start w:val="3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none"/>
      <w:lvlText w:val="E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44564822"/>
    <w:multiLevelType w:val="hybridMultilevel"/>
    <w:tmpl w:val="ECC8662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ABD0668"/>
    <w:multiLevelType w:val="hybridMultilevel"/>
    <w:tmpl w:val="CC3821C4"/>
    <w:lvl w:ilvl="0" w:tplc="04090015">
      <w:start w:val="1"/>
      <w:numFmt w:val="upperLetter"/>
      <w:lvlText w:val="%1."/>
      <w:lvlJc w:val="left"/>
      <w:pPr>
        <w:tabs>
          <w:tab w:val="num" w:pos="1560"/>
        </w:tabs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0">
    <w:nsid w:val="4DB85D88"/>
    <w:multiLevelType w:val="multilevel"/>
    <w:tmpl w:val="0100D32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4F971395"/>
    <w:multiLevelType w:val="hybridMultilevel"/>
    <w:tmpl w:val="E8B0651C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E54C39"/>
    <w:multiLevelType w:val="multilevel"/>
    <w:tmpl w:val="C8342C22"/>
    <w:lvl w:ilvl="0">
      <w:start w:val="1"/>
      <w:numFmt w:val="decimal"/>
      <w:lvlText w:val="1.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upperLetter"/>
      <w:pStyle w:val="Heading9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3AB016B"/>
    <w:multiLevelType w:val="multilevel"/>
    <w:tmpl w:val="AC56FABE"/>
    <w:lvl w:ilvl="0">
      <w:start w:val="3"/>
      <w:numFmt w:val="decimal"/>
      <w:pStyle w:val="Heading8"/>
      <w:lvlText w:val="1.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3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544C324C"/>
    <w:multiLevelType w:val="hybridMultilevel"/>
    <w:tmpl w:val="80A6CA2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B078C7"/>
    <w:multiLevelType w:val="multilevel"/>
    <w:tmpl w:val="1B58581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5EE00840"/>
    <w:multiLevelType w:val="hybridMultilevel"/>
    <w:tmpl w:val="4E4073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073A56"/>
    <w:multiLevelType w:val="multilevel"/>
    <w:tmpl w:val="E0CC9960"/>
    <w:lvl w:ilvl="0">
      <w:start w:val="3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651402F7"/>
    <w:multiLevelType w:val="hybridMultilevel"/>
    <w:tmpl w:val="EBA01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6505EF8"/>
    <w:multiLevelType w:val="hybridMultilevel"/>
    <w:tmpl w:val="217CF310"/>
    <w:lvl w:ilvl="0" w:tplc="E6F2506C">
      <w:start w:val="1"/>
      <w:numFmt w:val="decimal"/>
      <w:lvlText w:val="1.%1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79E6CC6"/>
    <w:multiLevelType w:val="hybridMultilevel"/>
    <w:tmpl w:val="48CC46C0"/>
    <w:lvl w:ilvl="0" w:tplc="04090015">
      <w:start w:val="1"/>
      <w:numFmt w:val="upperLetter"/>
      <w:lvlText w:val="%1."/>
      <w:lvlJc w:val="left"/>
      <w:pPr>
        <w:tabs>
          <w:tab w:val="num" w:pos="1725"/>
        </w:tabs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31">
    <w:nsid w:val="756C0B3C"/>
    <w:multiLevelType w:val="hybridMultilevel"/>
    <w:tmpl w:val="37FC30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ADC1845"/>
    <w:multiLevelType w:val="multilevel"/>
    <w:tmpl w:val="8A8CA8F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7C564D44"/>
    <w:multiLevelType w:val="hybridMultilevel"/>
    <w:tmpl w:val="DADA83EE"/>
    <w:lvl w:ilvl="0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7"/>
  </w:num>
  <w:num w:numId="3">
    <w:abstractNumId w:val="32"/>
  </w:num>
  <w:num w:numId="4">
    <w:abstractNumId w:val="13"/>
  </w:num>
  <w:num w:numId="5">
    <w:abstractNumId w:val="25"/>
  </w:num>
  <w:num w:numId="6">
    <w:abstractNumId w:val="23"/>
  </w:num>
  <w:num w:numId="7">
    <w:abstractNumId w:val="22"/>
  </w:num>
  <w:num w:numId="8">
    <w:abstractNumId w:val="27"/>
  </w:num>
  <w:num w:numId="9">
    <w:abstractNumId w:val="17"/>
  </w:num>
  <w:num w:numId="10">
    <w:abstractNumId w:val="14"/>
  </w:num>
  <w:num w:numId="11">
    <w:abstractNumId w:val="19"/>
  </w:num>
  <w:num w:numId="12">
    <w:abstractNumId w:val="30"/>
  </w:num>
  <w:num w:numId="13">
    <w:abstractNumId w:val="18"/>
  </w:num>
  <w:num w:numId="14">
    <w:abstractNumId w:val="2"/>
  </w:num>
  <w:num w:numId="15">
    <w:abstractNumId w:val="3"/>
  </w:num>
  <w:num w:numId="16">
    <w:abstractNumId w:val="28"/>
  </w:num>
  <w:num w:numId="17">
    <w:abstractNumId w:val="31"/>
  </w:num>
  <w:num w:numId="18">
    <w:abstractNumId w:val="10"/>
  </w:num>
  <w:num w:numId="19">
    <w:abstractNumId w:val="22"/>
    <w:lvlOverride w:ilvl="0">
      <w:startOverride w:val="3"/>
    </w:lvlOverride>
    <w:lvlOverride w:ilvl="1">
      <w:startOverride w:val="8"/>
    </w:lvlOverride>
  </w:num>
  <w:num w:numId="20">
    <w:abstractNumId w:val="9"/>
  </w:num>
  <w:num w:numId="21">
    <w:abstractNumId w:val="4"/>
  </w:num>
  <w:num w:numId="22">
    <w:abstractNumId w:val="26"/>
  </w:num>
  <w:num w:numId="23">
    <w:abstractNumId w:val="6"/>
  </w:num>
  <w:num w:numId="24">
    <w:abstractNumId w:val="5"/>
  </w:num>
  <w:num w:numId="25">
    <w:abstractNumId w:val="0"/>
  </w:num>
  <w:num w:numId="26">
    <w:abstractNumId w:val="24"/>
  </w:num>
  <w:num w:numId="27">
    <w:abstractNumId w:val="1"/>
  </w:num>
  <w:num w:numId="28">
    <w:abstractNumId w:val="16"/>
  </w:num>
  <w:num w:numId="29">
    <w:abstractNumId w:val="20"/>
  </w:num>
  <w:num w:numId="30">
    <w:abstractNumId w:val="33"/>
  </w:num>
  <w:num w:numId="31">
    <w:abstractNumId w:val="11"/>
  </w:num>
  <w:num w:numId="32">
    <w:abstractNumId w:val="15"/>
  </w:num>
  <w:num w:numId="33">
    <w:abstractNumId w:val="12"/>
  </w:num>
  <w:num w:numId="34">
    <w:abstractNumId w:val="8"/>
  </w:num>
  <w:num w:numId="35">
    <w:abstractNumId w:val="29"/>
  </w:num>
  <w:num w:numId="36">
    <w:abstractNumId w:val="21"/>
  </w:num>
  <w:num w:numId="3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9EA"/>
    <w:rsid w:val="00050994"/>
    <w:rsid w:val="00153CCE"/>
    <w:rsid w:val="001C5866"/>
    <w:rsid w:val="001C7B66"/>
    <w:rsid w:val="001E49EA"/>
    <w:rsid w:val="002131FC"/>
    <w:rsid w:val="002934AA"/>
    <w:rsid w:val="002B2219"/>
    <w:rsid w:val="002C373B"/>
    <w:rsid w:val="003927B6"/>
    <w:rsid w:val="003D12AF"/>
    <w:rsid w:val="00484BC5"/>
    <w:rsid w:val="00531E32"/>
    <w:rsid w:val="00536E21"/>
    <w:rsid w:val="005403BA"/>
    <w:rsid w:val="00553754"/>
    <w:rsid w:val="0055703F"/>
    <w:rsid w:val="005A7F1D"/>
    <w:rsid w:val="005D6858"/>
    <w:rsid w:val="00645B5B"/>
    <w:rsid w:val="00656E98"/>
    <w:rsid w:val="00751682"/>
    <w:rsid w:val="007A4B28"/>
    <w:rsid w:val="007C4698"/>
    <w:rsid w:val="00847E05"/>
    <w:rsid w:val="00893EEE"/>
    <w:rsid w:val="008C3AB3"/>
    <w:rsid w:val="008E3A4E"/>
    <w:rsid w:val="00911953"/>
    <w:rsid w:val="00963E08"/>
    <w:rsid w:val="009C4FCE"/>
    <w:rsid w:val="009E2D4C"/>
    <w:rsid w:val="00A343EA"/>
    <w:rsid w:val="00A55D3E"/>
    <w:rsid w:val="00AE209F"/>
    <w:rsid w:val="00B01BD4"/>
    <w:rsid w:val="00B57061"/>
    <w:rsid w:val="00BD66D0"/>
    <w:rsid w:val="00BF6690"/>
    <w:rsid w:val="00C43665"/>
    <w:rsid w:val="00C56ED1"/>
    <w:rsid w:val="00CB320C"/>
    <w:rsid w:val="00CE39B1"/>
    <w:rsid w:val="00D321EB"/>
    <w:rsid w:val="00D404D1"/>
    <w:rsid w:val="00DC249D"/>
    <w:rsid w:val="00E201FD"/>
    <w:rsid w:val="00E5100E"/>
    <w:rsid w:val="00E57540"/>
    <w:rsid w:val="00E93676"/>
    <w:rsid w:val="00ED4042"/>
    <w:rsid w:val="00F252A5"/>
    <w:rsid w:val="00FC1E25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99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288"/>
        <w:tab w:val="left" w:pos="576"/>
        <w:tab w:val="left" w:pos="1008"/>
        <w:tab w:val="left" w:pos="129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</w:tabs>
      <w:ind w:right="-288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288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129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</w:tabs>
      <w:ind w:left="720" w:right="-288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288"/>
      <w:jc w:val="both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288"/>
      <w:jc w:val="both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ilvl w:val="1"/>
        <w:numId w:val="4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numId w:val="6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7"/>
    </w:pPr>
    <w:rPr>
      <w:snapToGrid w:val="0"/>
      <w:sz w:val="24"/>
    </w:rPr>
  </w:style>
  <w:style w:type="paragraph" w:styleId="Heading9">
    <w:name w:val="heading 9"/>
    <w:basedOn w:val="Normal"/>
    <w:next w:val="Normal"/>
    <w:qFormat/>
    <w:pPr>
      <w:keepNext/>
      <w:widowControl w:val="0"/>
      <w:numPr>
        <w:ilvl w:val="1"/>
        <w:numId w:val="7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hanging="720"/>
      <w:jc w:val="both"/>
    </w:pPr>
    <w:rPr>
      <w:snapToGrid w:val="0"/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both"/>
    </w:pPr>
    <w:rPr>
      <w:snapToGrid w:val="0"/>
      <w:sz w:val="24"/>
    </w:rPr>
  </w:style>
  <w:style w:type="paragraph" w:styleId="BlockText">
    <w:name w:val="Block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right="-288" w:hanging="720"/>
      <w:jc w:val="both"/>
    </w:pPr>
    <w:rPr>
      <w:snapToGrid w:val="0"/>
      <w:sz w:val="24"/>
    </w:rPr>
  </w:style>
  <w:style w:type="paragraph" w:styleId="BodyTextIndent3">
    <w:name w:val="Body Text Indent 3"/>
    <w:basedOn w:val="Normal"/>
    <w:pPr>
      <w:widowControl w:val="0"/>
      <w:tabs>
        <w:tab w:val="left" w:pos="288"/>
        <w:tab w:val="left" w:pos="576"/>
        <w:tab w:val="left" w:pos="129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</w:tabs>
      <w:ind w:left="540"/>
    </w:pPr>
    <w:rPr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586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microsoft.com/office/2011/relationships/people" Target="peop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UNO_CBA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UNO_CBA</dc:creator>
  <cp:lastModifiedBy>Jeremy Hawkins</cp:lastModifiedBy>
  <cp:revision>18</cp:revision>
  <cp:lastPrinted>1999-01-28T19:44:00Z</cp:lastPrinted>
  <dcterms:created xsi:type="dcterms:W3CDTF">2018-01-09T20:54:00Z</dcterms:created>
  <dcterms:modified xsi:type="dcterms:W3CDTF">2018-03-02T17:51:00Z</dcterms:modified>
</cp:coreProperties>
</file>