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7AA90F" w14:textId="77777777" w:rsidR="00AD3C0C" w:rsidRPr="00340869" w:rsidRDefault="00AD3C0C" w:rsidP="00340869">
      <w:pPr>
        <w:pStyle w:val="Heading3"/>
        <w:tabs>
          <w:tab w:val="clear" w:pos="540"/>
          <w:tab w:val="left" w:pos="720"/>
        </w:tabs>
        <w:jc w:val="left"/>
        <w:rPr>
          <w:color w:val="auto"/>
          <w:sz w:val="24"/>
          <w:szCs w:val="24"/>
        </w:rPr>
      </w:pPr>
      <w:bookmarkStart w:id="0" w:name="_GoBack"/>
      <w:bookmarkEnd w:id="0"/>
      <w:r w:rsidRPr="00340869">
        <w:rPr>
          <w:color w:val="auto"/>
          <w:sz w:val="24"/>
          <w:szCs w:val="24"/>
        </w:rPr>
        <w:t>Chapter 1: I</w:t>
      </w:r>
      <w:r w:rsidR="003B1919" w:rsidRPr="00340869">
        <w:rPr>
          <w:color w:val="auto"/>
          <w:sz w:val="24"/>
          <w:szCs w:val="24"/>
        </w:rPr>
        <w:t>n</w:t>
      </w:r>
      <w:r w:rsidRPr="00340869">
        <w:rPr>
          <w:color w:val="auto"/>
          <w:sz w:val="24"/>
          <w:szCs w:val="24"/>
        </w:rPr>
        <w:t>troduction to Corporate Finance</w:t>
      </w:r>
    </w:p>
    <w:p w14:paraId="25B48110" w14:textId="77777777" w:rsidR="00FC04CD" w:rsidRDefault="00FC04CD" w:rsidP="00340869">
      <w:pPr>
        <w:rPr>
          <w:lang w:val="en-CA"/>
        </w:rPr>
      </w:pPr>
    </w:p>
    <w:p w14:paraId="18C809C6" w14:textId="77777777" w:rsidR="00FC04CD" w:rsidRPr="00340869" w:rsidRDefault="00FC04CD" w:rsidP="00F221CF">
      <w:pPr>
        <w:rPr>
          <w:b/>
          <w:lang w:val="en-CA"/>
        </w:rPr>
      </w:pPr>
      <w:r w:rsidRPr="00340869">
        <w:rPr>
          <w:b/>
          <w:lang w:val="en-CA"/>
        </w:rPr>
        <w:t>Questions and Problems:</w:t>
      </w:r>
    </w:p>
    <w:p w14:paraId="4D2BA4EE" w14:textId="77777777" w:rsidR="00AD3C0C" w:rsidRDefault="00AD3C0C">
      <w:pPr>
        <w:tabs>
          <w:tab w:val="left" w:pos="540"/>
        </w:tabs>
        <w:jc w:val="center"/>
        <w:rPr>
          <w:b/>
          <w:sz w:val="22"/>
        </w:rPr>
      </w:pPr>
    </w:p>
    <w:p w14:paraId="1E631A8D" w14:textId="77777777" w:rsidR="000F6536" w:rsidRPr="005A2F07" w:rsidRDefault="000F6536" w:rsidP="002664A4">
      <w:pPr>
        <w:pStyle w:val="BodyText2"/>
        <w:numPr>
          <w:ilvl w:val="1"/>
          <w:numId w:val="1"/>
        </w:numPr>
        <w:tabs>
          <w:tab w:val="clear" w:pos="540"/>
          <w:tab w:val="clear" w:pos="1440"/>
          <w:tab w:val="num" w:pos="720"/>
        </w:tabs>
        <w:ind w:left="720" w:hanging="720"/>
        <w:rPr>
          <w:color w:val="auto"/>
        </w:rPr>
      </w:pPr>
      <w:r>
        <w:t>In the absence of agency problems, managers act in the best interest of shareholders and make decisions to maximize shareholders’ wealth. They create value from the capital budgeting, financing, and liquidity activities. For example, managers create value by buying assets that generate more cash than they cost.</w:t>
      </w:r>
    </w:p>
    <w:p w14:paraId="5AFE4FC3" w14:textId="77777777" w:rsidR="00AD3C0C" w:rsidRDefault="00AD3C0C" w:rsidP="002664A4">
      <w:pPr>
        <w:pStyle w:val="BodyText2"/>
        <w:tabs>
          <w:tab w:val="clear" w:pos="1440"/>
          <w:tab w:val="num" w:pos="720"/>
        </w:tabs>
        <w:ind w:left="720" w:hanging="720"/>
        <w:rPr>
          <w:color w:val="auto"/>
        </w:rPr>
      </w:pPr>
    </w:p>
    <w:p w14:paraId="6946E30C" w14:textId="77777777" w:rsidR="00AD3C0C" w:rsidRDefault="00AD3C0C" w:rsidP="002664A4">
      <w:pPr>
        <w:ind w:left="720" w:hanging="720"/>
        <w:rPr>
          <w:sz w:val="22"/>
        </w:rPr>
      </w:pPr>
      <w:r>
        <w:rPr>
          <w:sz w:val="22"/>
        </w:rPr>
        <w:t>1.</w:t>
      </w:r>
      <w:r w:rsidR="00F00D56">
        <w:rPr>
          <w:sz w:val="22"/>
        </w:rPr>
        <w:t>2</w:t>
      </w:r>
      <w:r>
        <w:rPr>
          <w:sz w:val="22"/>
        </w:rPr>
        <w:tab/>
        <w:t>In the corporate form of ownership, the shareholders are the owners of the firm. The shareholders elect the directors of the corporation, who in turn appoint the firm’s management. This separation of ownership from control in the corporate form of organization is what causes agency problems to exist. Management may act in its own or someone else’s best interests, rather than those of the shareholders. If such events occur, they may contradict the goal of maximizing the share price of the equity of the firm.</w:t>
      </w:r>
    </w:p>
    <w:p w14:paraId="5F81432F" w14:textId="77777777" w:rsidR="00AD3C0C" w:rsidRDefault="00AD3C0C">
      <w:pPr>
        <w:pStyle w:val="BodyText2"/>
        <w:tabs>
          <w:tab w:val="clear" w:pos="720"/>
          <w:tab w:val="clear" w:pos="1440"/>
          <w:tab w:val="left" w:pos="540"/>
        </w:tabs>
        <w:rPr>
          <w:color w:val="auto"/>
        </w:rPr>
      </w:pPr>
    </w:p>
    <w:p w14:paraId="7CFB5DA1" w14:textId="77777777" w:rsidR="00AD3C0C" w:rsidRDefault="00AD3C0C" w:rsidP="002664A4">
      <w:pPr>
        <w:pStyle w:val="saay"/>
        <w:tabs>
          <w:tab w:val="clear" w:pos="440"/>
        </w:tabs>
        <w:ind w:left="720" w:hanging="720"/>
        <w:rPr>
          <w:rFonts w:ascii="Times New Roman" w:hAnsi="Times New Roman"/>
        </w:rPr>
      </w:pPr>
      <w:r>
        <w:rPr>
          <w:rFonts w:ascii="Times New Roman" w:hAnsi="Times New Roman"/>
        </w:rPr>
        <w:t>1.</w:t>
      </w:r>
      <w:r w:rsidR="00F00D56">
        <w:rPr>
          <w:rFonts w:ascii="Times New Roman" w:hAnsi="Times New Roman"/>
        </w:rPr>
        <w:t>3</w:t>
      </w:r>
      <w:r>
        <w:rPr>
          <w:rFonts w:ascii="Times New Roman" w:hAnsi="Times New Roman"/>
        </w:rPr>
        <w:tab/>
        <w:t xml:space="preserve">We would expect agency problems to be less severe in other countries, primarily due to the relatively small percentage of individual ownership. Fewer individual owners should reduce the number of diverse opinions concerning corporate goals. The high percentage of institutional ownership might lead to </w:t>
      </w:r>
      <w:proofErr w:type="gramStart"/>
      <w:r>
        <w:rPr>
          <w:rFonts w:ascii="Times New Roman" w:hAnsi="Times New Roman"/>
        </w:rPr>
        <w:t>a higher degree of</w:t>
      </w:r>
      <w:proofErr w:type="gramEnd"/>
      <w:r>
        <w:rPr>
          <w:rFonts w:ascii="Times New Roman" w:hAnsi="Times New Roman"/>
        </w:rPr>
        <w:t xml:space="preserve"> agreement between owners and managers on decisions concerning risky projects. In addition, institutions may be better able to implement effective monitoring mechanisms on managers than can individual owners, based on the institutions’ deeper resources and experiences with their own management. The increase in institutional ownership of stock in the </w:t>
      </w:r>
      <w:smartTag w:uri="urn:schemas-microsoft-com:office:smarttags" w:element="country-region">
        <w:r>
          <w:rPr>
            <w:rFonts w:ascii="Times New Roman" w:hAnsi="Times New Roman"/>
          </w:rPr>
          <w:t>United States</w:t>
        </w:r>
      </w:smartTag>
      <w:r>
        <w:rPr>
          <w:rFonts w:ascii="Times New Roman" w:hAnsi="Times New Roman"/>
        </w:rPr>
        <w:t xml:space="preserve"> and the growing activism of these large shareholder groups may lead to a reduction in agency problems for </w:t>
      </w:r>
      <w:smartTag w:uri="urn:schemas-microsoft-com:office:smarttags" w:element="place">
        <w:smartTag w:uri="urn:schemas-microsoft-com:office:smarttags" w:element="country-region">
          <w:r>
            <w:rPr>
              <w:rFonts w:ascii="Times New Roman" w:hAnsi="Times New Roman"/>
            </w:rPr>
            <w:t>U.S.</w:t>
          </w:r>
        </w:smartTag>
      </w:smartTag>
      <w:r>
        <w:rPr>
          <w:rFonts w:ascii="Times New Roman" w:hAnsi="Times New Roman"/>
        </w:rPr>
        <w:t xml:space="preserve"> corporations and a more efficient market for corporate control.</w:t>
      </w:r>
    </w:p>
    <w:p w14:paraId="5243D77B" w14:textId="77777777" w:rsidR="00AD3C0C" w:rsidRDefault="00AD3C0C">
      <w:pPr>
        <w:pStyle w:val="BodyText2"/>
        <w:tabs>
          <w:tab w:val="clear" w:pos="720"/>
          <w:tab w:val="clear" w:pos="1440"/>
          <w:tab w:val="left" w:pos="540"/>
        </w:tabs>
        <w:rPr>
          <w:color w:val="auto"/>
        </w:rPr>
      </w:pPr>
    </w:p>
    <w:p w14:paraId="0FAE7C67" w14:textId="77777777" w:rsidR="00AD3C0C" w:rsidRDefault="00AD3C0C" w:rsidP="002664A4">
      <w:pPr>
        <w:pStyle w:val="BodyText2"/>
        <w:tabs>
          <w:tab w:val="clear" w:pos="720"/>
          <w:tab w:val="clear" w:pos="1440"/>
        </w:tabs>
        <w:ind w:left="720" w:hanging="720"/>
        <w:rPr>
          <w:color w:val="auto"/>
        </w:rPr>
      </w:pPr>
      <w:r>
        <w:rPr>
          <w:color w:val="auto"/>
        </w:rPr>
        <w:t>1.</w:t>
      </w:r>
      <w:r w:rsidR="003B1B84">
        <w:rPr>
          <w:color w:val="auto"/>
        </w:rPr>
        <w:t>4</w:t>
      </w:r>
      <w:r>
        <w:rPr>
          <w:color w:val="auto"/>
        </w:rPr>
        <w:tab/>
        <w:t>Canadian financial institutions include chartered banks and other depository institutions</w:t>
      </w:r>
      <w:r w:rsidR="00C70F95">
        <w:rPr>
          <w:color w:val="auto"/>
        </w:rPr>
        <w:t>––</w:t>
      </w:r>
      <w:r>
        <w:rPr>
          <w:color w:val="auto"/>
        </w:rPr>
        <w:t xml:space="preserve">trust companies and credit unions as well as </w:t>
      </w:r>
      <w:proofErr w:type="spellStart"/>
      <w:r>
        <w:rPr>
          <w:color w:val="auto"/>
        </w:rPr>
        <w:t>nondepository</w:t>
      </w:r>
      <w:proofErr w:type="spellEnd"/>
      <w:r>
        <w:rPr>
          <w:color w:val="auto"/>
        </w:rPr>
        <w:t xml:space="preserve"> institutions</w:t>
      </w:r>
      <w:r w:rsidR="00C70F95">
        <w:rPr>
          <w:color w:val="auto"/>
        </w:rPr>
        <w:t>––</w:t>
      </w:r>
      <w:r>
        <w:rPr>
          <w:color w:val="auto"/>
        </w:rPr>
        <w:t>investment dealers, insurance companies, pension funds and mutual funds.</w:t>
      </w:r>
    </w:p>
    <w:p w14:paraId="33E7326B" w14:textId="77777777" w:rsidR="00AD3C0C" w:rsidRDefault="00AD3C0C" w:rsidP="002664A4">
      <w:pPr>
        <w:pStyle w:val="BodyText2"/>
        <w:tabs>
          <w:tab w:val="clear" w:pos="720"/>
          <w:tab w:val="clear" w:pos="1440"/>
          <w:tab w:val="left" w:pos="540"/>
        </w:tabs>
        <w:ind w:left="720" w:hanging="720"/>
        <w:rPr>
          <w:color w:val="auto"/>
        </w:rPr>
      </w:pPr>
    </w:p>
    <w:p w14:paraId="4785F2C9" w14:textId="14D736DE" w:rsidR="00AD3C0C" w:rsidRDefault="002664A4" w:rsidP="002664A4">
      <w:pPr>
        <w:pStyle w:val="BodyText2"/>
        <w:tabs>
          <w:tab w:val="clear" w:pos="720"/>
          <w:tab w:val="clear" w:pos="1440"/>
          <w:tab w:val="left" w:pos="540"/>
        </w:tabs>
        <w:ind w:left="720" w:hanging="720"/>
        <w:rPr>
          <w:color w:val="auto"/>
        </w:rPr>
      </w:pPr>
      <w:r>
        <w:rPr>
          <w:color w:val="auto"/>
        </w:rPr>
        <w:tab/>
      </w:r>
      <w:r>
        <w:rPr>
          <w:color w:val="auto"/>
        </w:rPr>
        <w:tab/>
      </w:r>
      <w:r w:rsidR="00AD3C0C">
        <w:rPr>
          <w:color w:val="auto"/>
        </w:rPr>
        <w:t>Financial markets can be classified as either money markets or capital markets.  Short</w:t>
      </w:r>
      <w:r w:rsidR="00C70F95">
        <w:rPr>
          <w:color w:val="auto"/>
        </w:rPr>
        <w:t>–</w:t>
      </w:r>
      <w:r w:rsidR="00AD3C0C">
        <w:rPr>
          <w:color w:val="auto"/>
        </w:rPr>
        <w:t xml:space="preserve">term debt securities are bought and sold in money markets. Capital markets are the markets for long–term debt and shares of stock, for </w:t>
      </w:r>
      <w:r w:rsidR="00AD3C0C" w:rsidRPr="003923C3">
        <w:rPr>
          <w:color w:val="auto"/>
        </w:rPr>
        <w:t xml:space="preserve">example the </w:t>
      </w:r>
      <w:r w:rsidR="00275487" w:rsidRPr="003923C3">
        <w:rPr>
          <w:color w:val="auto"/>
        </w:rPr>
        <w:t>TSX.</w:t>
      </w:r>
    </w:p>
    <w:p w14:paraId="78BFE088" w14:textId="77777777" w:rsidR="00AD3C0C" w:rsidRDefault="00AD3C0C">
      <w:pPr>
        <w:pStyle w:val="BodyText2"/>
        <w:tabs>
          <w:tab w:val="clear" w:pos="720"/>
          <w:tab w:val="clear" w:pos="1440"/>
          <w:tab w:val="left" w:pos="540"/>
        </w:tabs>
        <w:ind w:left="540"/>
        <w:rPr>
          <w:color w:val="auto"/>
        </w:rPr>
      </w:pPr>
    </w:p>
    <w:p w14:paraId="7415C79A" w14:textId="77777777" w:rsidR="00AD3C0C" w:rsidRPr="00AC0731" w:rsidRDefault="003B1B84" w:rsidP="002664A4">
      <w:pPr>
        <w:pStyle w:val="BodyText2"/>
        <w:tabs>
          <w:tab w:val="clear" w:pos="720"/>
          <w:tab w:val="clear" w:pos="1440"/>
        </w:tabs>
        <w:ind w:left="720" w:hanging="720"/>
        <w:rPr>
          <w:color w:val="auto"/>
        </w:rPr>
      </w:pPr>
      <w:r>
        <w:rPr>
          <w:color w:val="auto"/>
        </w:rPr>
        <w:t>1.5</w:t>
      </w:r>
      <w:r>
        <w:rPr>
          <w:color w:val="auto"/>
        </w:rPr>
        <w:tab/>
      </w:r>
      <w:r w:rsidR="00AD3C0C">
        <w:rPr>
          <w:color w:val="auto"/>
        </w:rPr>
        <w:t>Canadian Financial Markets, like all markets, are experiencing rapid globalization.  The toolkit of available financial management techniques has expanded in response to a need to control volatility risk and to track complex dealing in many countries.  Computer technology improvements make new financial engineering applications practical and create opportunities to combine different types of financial institutions.  Financial institutions pressure authorities to deregulate in a process called the regulatory dialectic</w:t>
      </w:r>
      <w:r w:rsidR="00ED57D3">
        <w:rPr>
          <w:color w:val="auto"/>
        </w:rPr>
        <w:t>.</w:t>
      </w:r>
    </w:p>
    <w:p w14:paraId="02974514" w14:textId="77777777" w:rsidR="00AD3C0C" w:rsidRDefault="00AD3C0C">
      <w:pPr>
        <w:pStyle w:val="BodyText2"/>
        <w:tabs>
          <w:tab w:val="clear" w:pos="720"/>
          <w:tab w:val="clear" w:pos="1440"/>
        </w:tabs>
        <w:ind w:left="360"/>
        <w:rPr>
          <w:color w:val="auto"/>
        </w:rPr>
      </w:pPr>
    </w:p>
    <w:p w14:paraId="0041B390" w14:textId="77777777" w:rsidR="00275487" w:rsidRDefault="00AD3C0C" w:rsidP="001F691B">
      <w:pPr>
        <w:pStyle w:val="BodyText2"/>
        <w:tabs>
          <w:tab w:val="clear" w:pos="720"/>
          <w:tab w:val="clear" w:pos="1440"/>
          <w:tab w:val="left" w:pos="540"/>
        </w:tabs>
        <w:ind w:left="540"/>
        <w:rPr>
          <w:color w:val="auto"/>
        </w:rPr>
      </w:pPr>
      <w:r>
        <w:rPr>
          <w:color w:val="auto"/>
        </w:rPr>
        <w:t>These trends have made financial management in Canada much more complex and technical. In the face of increased global competition, the payoff for good financial management is great with finance becoming important in corporate strategic planning</w:t>
      </w:r>
      <w:r w:rsidR="00275487">
        <w:rPr>
          <w:color w:val="auto"/>
        </w:rPr>
        <w:t>.</w:t>
      </w:r>
      <w:r w:rsidR="001F691B">
        <w:rPr>
          <w:color w:val="auto"/>
        </w:rPr>
        <w:t xml:space="preserve"> </w:t>
      </w:r>
    </w:p>
    <w:p w14:paraId="73923DA1" w14:textId="77777777" w:rsidR="00275487" w:rsidRDefault="00275487" w:rsidP="001F691B">
      <w:pPr>
        <w:pStyle w:val="BodyText2"/>
        <w:tabs>
          <w:tab w:val="clear" w:pos="720"/>
          <w:tab w:val="clear" w:pos="1440"/>
          <w:tab w:val="left" w:pos="540"/>
        </w:tabs>
        <w:ind w:left="540"/>
        <w:rPr>
          <w:color w:val="auto"/>
        </w:rPr>
      </w:pPr>
    </w:p>
    <w:p w14:paraId="310B1444" w14:textId="77777777" w:rsidR="00012AD0" w:rsidRDefault="00012AD0">
      <w:pPr>
        <w:pStyle w:val="BodyText2"/>
        <w:tabs>
          <w:tab w:val="clear" w:pos="720"/>
          <w:tab w:val="clear" w:pos="1440"/>
          <w:tab w:val="left" w:pos="540"/>
        </w:tabs>
        <w:rPr>
          <w:b/>
          <w:color w:val="auto"/>
        </w:rPr>
      </w:pPr>
    </w:p>
    <w:p w14:paraId="111531B3" w14:textId="77777777" w:rsidR="00340869" w:rsidRDefault="00340869">
      <w:pPr>
        <w:pStyle w:val="BodyText2"/>
        <w:tabs>
          <w:tab w:val="clear" w:pos="720"/>
          <w:tab w:val="clear" w:pos="1440"/>
          <w:tab w:val="left" w:pos="540"/>
        </w:tabs>
        <w:rPr>
          <w:b/>
          <w:color w:val="auto"/>
          <w:sz w:val="24"/>
          <w:szCs w:val="24"/>
        </w:rPr>
      </w:pPr>
    </w:p>
    <w:p w14:paraId="75204DF5" w14:textId="77777777" w:rsidR="00340869" w:rsidRDefault="00340869">
      <w:pPr>
        <w:pStyle w:val="BodyText2"/>
        <w:tabs>
          <w:tab w:val="clear" w:pos="720"/>
          <w:tab w:val="clear" w:pos="1440"/>
          <w:tab w:val="left" w:pos="540"/>
        </w:tabs>
        <w:rPr>
          <w:b/>
          <w:color w:val="auto"/>
          <w:sz w:val="24"/>
          <w:szCs w:val="24"/>
        </w:rPr>
      </w:pPr>
    </w:p>
    <w:p w14:paraId="735B971A" w14:textId="77777777" w:rsidR="00340869" w:rsidRDefault="00340869">
      <w:pPr>
        <w:pStyle w:val="BodyText2"/>
        <w:tabs>
          <w:tab w:val="clear" w:pos="720"/>
          <w:tab w:val="clear" w:pos="1440"/>
          <w:tab w:val="left" w:pos="540"/>
        </w:tabs>
        <w:rPr>
          <w:b/>
          <w:color w:val="auto"/>
          <w:sz w:val="24"/>
          <w:szCs w:val="24"/>
        </w:rPr>
      </w:pPr>
    </w:p>
    <w:p w14:paraId="1BC0BE41" w14:textId="77777777" w:rsidR="00340869" w:rsidRDefault="00340869">
      <w:pPr>
        <w:pStyle w:val="BodyText2"/>
        <w:tabs>
          <w:tab w:val="clear" w:pos="720"/>
          <w:tab w:val="clear" w:pos="1440"/>
          <w:tab w:val="left" w:pos="540"/>
        </w:tabs>
        <w:rPr>
          <w:b/>
          <w:color w:val="auto"/>
          <w:sz w:val="24"/>
          <w:szCs w:val="24"/>
        </w:rPr>
      </w:pPr>
    </w:p>
    <w:p w14:paraId="4C4F7631" w14:textId="41A6308C" w:rsidR="00340869" w:rsidRPr="00340869" w:rsidRDefault="00340869">
      <w:pPr>
        <w:pStyle w:val="BodyText2"/>
        <w:tabs>
          <w:tab w:val="clear" w:pos="720"/>
          <w:tab w:val="clear" w:pos="1440"/>
          <w:tab w:val="left" w:pos="540"/>
        </w:tabs>
        <w:rPr>
          <w:b/>
          <w:color w:val="auto"/>
          <w:sz w:val="24"/>
          <w:szCs w:val="24"/>
        </w:rPr>
      </w:pPr>
      <w:r>
        <w:rPr>
          <w:b/>
          <w:color w:val="auto"/>
          <w:sz w:val="24"/>
          <w:szCs w:val="24"/>
        </w:rPr>
        <w:t>Appendix 1A</w:t>
      </w:r>
      <w:r w:rsidR="003923C3">
        <w:rPr>
          <w:b/>
          <w:color w:val="auto"/>
          <w:sz w:val="24"/>
          <w:szCs w:val="24"/>
        </w:rPr>
        <w:t>: Taxes</w:t>
      </w:r>
    </w:p>
    <w:p w14:paraId="1F760095" w14:textId="77777777" w:rsidR="00340869" w:rsidRPr="00340869" w:rsidRDefault="00340869">
      <w:pPr>
        <w:pStyle w:val="BodyText2"/>
        <w:tabs>
          <w:tab w:val="clear" w:pos="720"/>
          <w:tab w:val="clear" w:pos="1440"/>
          <w:tab w:val="left" w:pos="540"/>
        </w:tabs>
        <w:rPr>
          <w:b/>
          <w:color w:val="auto"/>
          <w:sz w:val="24"/>
          <w:szCs w:val="24"/>
        </w:rPr>
      </w:pPr>
    </w:p>
    <w:p w14:paraId="0D01123F" w14:textId="77777777" w:rsidR="00FC04CD" w:rsidRPr="00340869" w:rsidRDefault="00FC04CD">
      <w:pPr>
        <w:pStyle w:val="BodyText2"/>
        <w:tabs>
          <w:tab w:val="clear" w:pos="720"/>
          <w:tab w:val="clear" w:pos="1440"/>
          <w:tab w:val="left" w:pos="540"/>
        </w:tabs>
        <w:rPr>
          <w:b/>
          <w:color w:val="auto"/>
          <w:sz w:val="24"/>
          <w:szCs w:val="24"/>
        </w:rPr>
      </w:pPr>
      <w:r w:rsidRPr="00340869">
        <w:rPr>
          <w:b/>
          <w:color w:val="auto"/>
          <w:sz w:val="24"/>
          <w:szCs w:val="24"/>
        </w:rPr>
        <w:t>Questions and Problems:</w:t>
      </w:r>
    </w:p>
    <w:p w14:paraId="7D25C49D" w14:textId="77777777" w:rsidR="00AD3C0C" w:rsidRDefault="00AD3C0C">
      <w:pPr>
        <w:pStyle w:val="BodyText2"/>
        <w:tabs>
          <w:tab w:val="clear" w:pos="720"/>
          <w:tab w:val="clear" w:pos="1440"/>
          <w:tab w:val="left" w:pos="540"/>
        </w:tabs>
        <w:ind w:left="540"/>
        <w:rPr>
          <w:color w:val="auto"/>
        </w:rPr>
      </w:pPr>
    </w:p>
    <w:p w14:paraId="2CF4B10C" w14:textId="77777777" w:rsidR="00AD3C0C" w:rsidRDefault="00AD3C0C" w:rsidP="002664A4">
      <w:pPr>
        <w:pStyle w:val="BodyText2"/>
        <w:tabs>
          <w:tab w:val="clear" w:pos="720"/>
          <w:tab w:val="clear" w:pos="1440"/>
        </w:tabs>
        <w:ind w:left="720" w:hanging="720"/>
        <w:rPr>
          <w:color w:val="auto"/>
        </w:rPr>
      </w:pPr>
      <w:r>
        <w:rPr>
          <w:color w:val="auto"/>
        </w:rPr>
        <w:t>1.A1</w:t>
      </w:r>
      <w:r>
        <w:rPr>
          <w:color w:val="auto"/>
        </w:rPr>
        <w:tab/>
        <w:t>The average tax rate is total taxes paid divided by total taxable income whereas the marginal tax rate is the extra tax payable on the next dollar earned.</w:t>
      </w:r>
    </w:p>
    <w:p w14:paraId="4238F67F" w14:textId="77777777" w:rsidR="00AD3C0C" w:rsidRDefault="00AD3C0C">
      <w:pPr>
        <w:pStyle w:val="BodyText2"/>
        <w:tabs>
          <w:tab w:val="clear" w:pos="720"/>
          <w:tab w:val="clear" w:pos="1440"/>
          <w:tab w:val="left" w:pos="540"/>
        </w:tabs>
        <w:ind w:left="540"/>
        <w:rPr>
          <w:color w:val="auto"/>
        </w:rPr>
      </w:pPr>
    </w:p>
    <w:p w14:paraId="1E553783" w14:textId="77777777" w:rsidR="00AD3C0C" w:rsidRDefault="00AD3C0C" w:rsidP="002664A4">
      <w:pPr>
        <w:pStyle w:val="BodyText2"/>
        <w:tabs>
          <w:tab w:val="clear" w:pos="720"/>
          <w:tab w:val="clear" w:pos="1440"/>
        </w:tabs>
        <w:ind w:left="720" w:hanging="720"/>
        <w:rPr>
          <w:color w:val="auto"/>
        </w:rPr>
      </w:pPr>
      <w:r>
        <w:rPr>
          <w:color w:val="auto"/>
        </w:rPr>
        <w:t>1.A2</w:t>
      </w:r>
      <w:r>
        <w:rPr>
          <w:color w:val="auto"/>
        </w:rPr>
        <w:tab/>
        <w:t>Personal investment income in the form of interest is taxed at the same rates as employment income.  Dividend income is initially taxed at the same rate as employment income but the dividend tax credit reduces the effective tax rate on dividends for investors. Taxes on capital gains apply at 50 percent of the applicable marginal rate. However, before the 1994 Federal Budget, each individual was entitled to receive a lifetime capital gains exemption of $100,000 net of any capital losses. From a corporate point of view, interest earned is fully taxable while dividends on common shares of other Canadian corporations are received tax</w:t>
      </w:r>
      <w:r w:rsidR="00C70F95">
        <w:rPr>
          <w:color w:val="auto"/>
        </w:rPr>
        <w:t>–</w:t>
      </w:r>
      <w:r>
        <w:rPr>
          <w:color w:val="auto"/>
        </w:rPr>
        <w:t xml:space="preserve">free. As with individuals, capital gains are taxed at 50 percent of the marginal rate. </w:t>
      </w:r>
    </w:p>
    <w:p w14:paraId="463F5A1B" w14:textId="77777777" w:rsidR="00AD3C0C" w:rsidRDefault="00AD3C0C">
      <w:pPr>
        <w:tabs>
          <w:tab w:val="left" w:pos="540"/>
        </w:tabs>
        <w:rPr>
          <w:sz w:val="22"/>
        </w:rPr>
      </w:pPr>
    </w:p>
    <w:p w14:paraId="07709C86" w14:textId="77777777" w:rsidR="00AD3C0C" w:rsidRDefault="00AD3C0C" w:rsidP="002664A4">
      <w:pPr>
        <w:ind w:left="720" w:hanging="720"/>
        <w:rPr>
          <w:sz w:val="22"/>
        </w:rPr>
      </w:pPr>
      <w:r>
        <w:rPr>
          <w:sz w:val="22"/>
        </w:rPr>
        <w:t>1.A3</w:t>
      </w:r>
      <w:r>
        <w:rPr>
          <w:sz w:val="22"/>
        </w:rPr>
        <w:tab/>
        <w:t xml:space="preserve">If the firm has an operating loss, it may be carried back to reduce net income in the three prior years and carried forward for up to </w:t>
      </w:r>
      <w:r w:rsidR="00753A83">
        <w:rPr>
          <w:sz w:val="22"/>
        </w:rPr>
        <w:t xml:space="preserve">twenty </w:t>
      </w:r>
      <w:r>
        <w:rPr>
          <w:sz w:val="22"/>
        </w:rPr>
        <w:t>years. In the case of capital losses, if capital losses exceed capital gains, the net capital loss may be carried back to reduce taxable capital gains in three prior years and carried forward indefinitely. An investment tax credit allows a qualified firm to subtract a set percentage of an investment directly from taxes payable.</w:t>
      </w:r>
    </w:p>
    <w:p w14:paraId="06316493" w14:textId="77777777" w:rsidR="00AD3C0C" w:rsidRDefault="00AD3C0C">
      <w:pPr>
        <w:tabs>
          <w:tab w:val="left" w:pos="540"/>
        </w:tabs>
        <w:ind w:left="540" w:hanging="540"/>
        <w:rPr>
          <w:sz w:val="22"/>
        </w:rPr>
      </w:pPr>
    </w:p>
    <w:p w14:paraId="2FEC0F1B" w14:textId="77777777" w:rsidR="00AD3C0C" w:rsidRDefault="00AD3C0C" w:rsidP="001F691B">
      <w:pPr>
        <w:tabs>
          <w:tab w:val="left" w:pos="1276"/>
        </w:tabs>
        <w:ind w:left="720" w:hanging="720"/>
        <w:rPr>
          <w:sz w:val="22"/>
          <w:u w:val="single"/>
        </w:rPr>
      </w:pPr>
      <w:r>
        <w:rPr>
          <w:sz w:val="22"/>
        </w:rPr>
        <w:t>1.A4</w:t>
      </w:r>
      <w:r>
        <w:rPr>
          <w:sz w:val="22"/>
        </w:rPr>
        <w:tab/>
      </w:r>
      <w:r w:rsidRPr="001F691B">
        <w:rPr>
          <w:i/>
          <w:sz w:val="22"/>
        </w:rPr>
        <w:t>a</w:t>
      </w:r>
      <w:r>
        <w:rPr>
          <w:sz w:val="22"/>
        </w:rPr>
        <w:t>.</w:t>
      </w:r>
      <w:r w:rsidR="001F691B">
        <w:rPr>
          <w:sz w:val="22"/>
        </w:rPr>
        <w:t xml:space="preserve"> </w:t>
      </w:r>
      <w:r w:rsidR="001F691B">
        <w:rPr>
          <w:sz w:val="22"/>
        </w:rPr>
        <w:tab/>
      </w:r>
      <w:r>
        <w:rPr>
          <w:sz w:val="22"/>
          <w:u w:val="single"/>
        </w:rPr>
        <w:t>Ontario</w:t>
      </w:r>
    </w:p>
    <w:p w14:paraId="0E0C3F07" w14:textId="77777777" w:rsidR="00AD3C0C" w:rsidRDefault="001F691B" w:rsidP="001F691B">
      <w:pPr>
        <w:tabs>
          <w:tab w:val="left" w:pos="540"/>
          <w:tab w:val="left" w:pos="1276"/>
        </w:tabs>
        <w:ind w:left="720" w:hanging="720"/>
        <w:rPr>
          <w:sz w:val="22"/>
        </w:rPr>
      </w:pPr>
      <w:r>
        <w:rPr>
          <w:sz w:val="22"/>
        </w:rPr>
        <w:tab/>
      </w:r>
      <w:r>
        <w:rPr>
          <w:sz w:val="22"/>
        </w:rPr>
        <w:tab/>
        <w:t xml:space="preserve">    </w:t>
      </w:r>
      <w:r>
        <w:rPr>
          <w:sz w:val="22"/>
        </w:rPr>
        <w:tab/>
      </w:r>
      <w:r w:rsidR="00AD3C0C">
        <w:rPr>
          <w:sz w:val="22"/>
        </w:rPr>
        <w:t>Corporation X:</w:t>
      </w:r>
      <w:r w:rsidR="00AD3C0C">
        <w:rPr>
          <w:sz w:val="22"/>
        </w:rPr>
        <w:tab/>
        <w:t>Taxes = (0.</w:t>
      </w:r>
      <w:r w:rsidR="006B1927">
        <w:rPr>
          <w:sz w:val="22"/>
        </w:rPr>
        <w:t>15</w:t>
      </w:r>
      <w:r w:rsidR="00AD3C0C">
        <w:rPr>
          <w:sz w:val="22"/>
        </w:rPr>
        <w:t>)($100,000) = $</w:t>
      </w:r>
      <w:r w:rsidR="006B1927">
        <w:rPr>
          <w:sz w:val="22"/>
        </w:rPr>
        <w:t>15</w:t>
      </w:r>
      <w:r w:rsidR="00AD3C0C">
        <w:rPr>
          <w:sz w:val="22"/>
        </w:rPr>
        <w:t>,</w:t>
      </w:r>
      <w:r w:rsidR="00142AA7">
        <w:rPr>
          <w:sz w:val="22"/>
        </w:rPr>
        <w:t>0</w:t>
      </w:r>
      <w:r w:rsidR="009A6BC4">
        <w:rPr>
          <w:sz w:val="22"/>
        </w:rPr>
        <w:t>00</w:t>
      </w:r>
    </w:p>
    <w:p w14:paraId="06DA9636" w14:textId="77777777" w:rsidR="00AD3C0C" w:rsidRDefault="001F691B" w:rsidP="00C354FE">
      <w:pPr>
        <w:tabs>
          <w:tab w:val="left" w:pos="540"/>
          <w:tab w:val="left" w:pos="1276"/>
        </w:tabs>
        <w:ind w:left="720" w:hanging="720"/>
        <w:rPr>
          <w:sz w:val="22"/>
        </w:rPr>
      </w:pPr>
      <w:r>
        <w:rPr>
          <w:sz w:val="22"/>
        </w:rPr>
        <w:tab/>
      </w:r>
      <w:r>
        <w:rPr>
          <w:sz w:val="22"/>
        </w:rPr>
        <w:tab/>
        <w:t xml:space="preserve">   </w:t>
      </w:r>
      <w:r>
        <w:rPr>
          <w:sz w:val="22"/>
        </w:rPr>
        <w:tab/>
      </w:r>
      <w:r w:rsidR="00AD3C0C">
        <w:rPr>
          <w:sz w:val="22"/>
        </w:rPr>
        <w:t>Corporation Y:</w:t>
      </w:r>
      <w:r w:rsidR="00AD3C0C">
        <w:rPr>
          <w:sz w:val="22"/>
        </w:rPr>
        <w:tab/>
        <w:t>Taxes = (0.</w:t>
      </w:r>
      <w:r w:rsidR="00CF17B6">
        <w:rPr>
          <w:sz w:val="22"/>
        </w:rPr>
        <w:t>265</w:t>
      </w:r>
      <w:r w:rsidR="00AD3C0C">
        <w:rPr>
          <w:sz w:val="22"/>
        </w:rPr>
        <w:t>)($1,000,000) = $</w:t>
      </w:r>
      <w:r w:rsidR="00CF17B6">
        <w:rPr>
          <w:sz w:val="22"/>
        </w:rPr>
        <w:t>265</w:t>
      </w:r>
      <w:r w:rsidR="00AD3C0C">
        <w:rPr>
          <w:sz w:val="22"/>
        </w:rPr>
        <w:t>,000</w:t>
      </w:r>
    </w:p>
    <w:p w14:paraId="0AC13E9B" w14:textId="77777777" w:rsidR="00AD3C0C" w:rsidRDefault="00AD3C0C" w:rsidP="002664A4">
      <w:pPr>
        <w:tabs>
          <w:tab w:val="left" w:pos="540"/>
        </w:tabs>
        <w:ind w:left="720" w:hanging="720"/>
        <w:rPr>
          <w:sz w:val="22"/>
        </w:rPr>
      </w:pPr>
      <w:r>
        <w:rPr>
          <w:sz w:val="22"/>
        </w:rPr>
        <w:tab/>
      </w:r>
      <w:r>
        <w:rPr>
          <w:sz w:val="22"/>
        </w:rPr>
        <w:tab/>
      </w:r>
      <w:r>
        <w:rPr>
          <w:sz w:val="22"/>
        </w:rPr>
        <w:tab/>
      </w:r>
    </w:p>
    <w:p w14:paraId="328B817F" w14:textId="77777777" w:rsidR="00AD3C0C" w:rsidRDefault="00AD3C0C" w:rsidP="001F691B">
      <w:pPr>
        <w:numPr>
          <w:ilvl w:val="0"/>
          <w:numId w:val="2"/>
        </w:numPr>
        <w:tabs>
          <w:tab w:val="clear" w:pos="1440"/>
          <w:tab w:val="left" w:pos="540"/>
          <w:tab w:val="num" w:pos="1418"/>
        </w:tabs>
        <w:ind w:left="1134" w:hanging="425"/>
        <w:rPr>
          <w:sz w:val="22"/>
        </w:rPr>
      </w:pPr>
      <w:r>
        <w:rPr>
          <w:sz w:val="22"/>
        </w:rPr>
        <w:t>The firms have different marginal tax rates. Firm X pays $1,</w:t>
      </w:r>
      <w:r w:rsidR="00BE7BA3">
        <w:rPr>
          <w:sz w:val="22"/>
        </w:rPr>
        <w:t>5</w:t>
      </w:r>
      <w:r w:rsidR="00A328F4">
        <w:rPr>
          <w:sz w:val="22"/>
        </w:rPr>
        <w:t>0</w:t>
      </w:r>
      <w:r w:rsidR="009A6BC4">
        <w:rPr>
          <w:sz w:val="22"/>
        </w:rPr>
        <w:t xml:space="preserve">0 </w:t>
      </w:r>
      <w:r>
        <w:rPr>
          <w:sz w:val="22"/>
        </w:rPr>
        <w:t>more an</w:t>
      </w:r>
      <w:r w:rsidR="00BE7BA3">
        <w:rPr>
          <w:sz w:val="22"/>
        </w:rPr>
        <w:t>d Firm Y, pays an additional $2,65</w:t>
      </w:r>
      <w:r w:rsidR="009A6BC4">
        <w:rPr>
          <w:sz w:val="22"/>
        </w:rPr>
        <w:t>0</w:t>
      </w:r>
      <w:r>
        <w:rPr>
          <w:sz w:val="22"/>
        </w:rPr>
        <w:t>.</w:t>
      </w:r>
    </w:p>
    <w:p w14:paraId="2CF3C007" w14:textId="77777777" w:rsidR="00C55BA2" w:rsidRDefault="00AD3C0C">
      <w:pPr>
        <w:tabs>
          <w:tab w:val="left" w:pos="540"/>
        </w:tabs>
        <w:rPr>
          <w:sz w:val="22"/>
        </w:rPr>
      </w:pPr>
      <w:r>
        <w:rPr>
          <w:sz w:val="22"/>
        </w:rPr>
        <w:tab/>
      </w:r>
      <w:r>
        <w:rPr>
          <w:sz w:val="22"/>
        </w:rPr>
        <w:tab/>
      </w:r>
    </w:p>
    <w:p w14:paraId="1E1A8CAF" w14:textId="77777777" w:rsidR="00AD3C0C" w:rsidRDefault="00AD3C0C">
      <w:pPr>
        <w:tabs>
          <w:tab w:val="left" w:pos="540"/>
        </w:tabs>
        <w:rPr>
          <w:b/>
          <w:sz w:val="22"/>
        </w:rPr>
      </w:pPr>
      <w:r>
        <w:rPr>
          <w:sz w:val="22"/>
        </w:rPr>
        <w:t>1.A5</w:t>
      </w:r>
      <w:r>
        <w:rPr>
          <w:sz w:val="22"/>
        </w:rPr>
        <w:tab/>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1530"/>
      </w:tblGrid>
      <w:tr w:rsidR="00AD3C0C" w14:paraId="0E35961E" w14:textId="77777777">
        <w:tc>
          <w:tcPr>
            <w:tcW w:w="5040" w:type="dxa"/>
          </w:tcPr>
          <w:p w14:paraId="7B93DBA1" w14:textId="77777777" w:rsidR="00AD3C0C" w:rsidRDefault="00AD3C0C">
            <w:pPr>
              <w:tabs>
                <w:tab w:val="left" w:pos="540"/>
              </w:tabs>
              <w:jc w:val="center"/>
              <w:rPr>
                <w:sz w:val="22"/>
              </w:rPr>
            </w:pPr>
            <w:r>
              <w:rPr>
                <w:sz w:val="22"/>
              </w:rPr>
              <w:t>DIVIDENDS</w:t>
            </w:r>
          </w:p>
        </w:tc>
        <w:tc>
          <w:tcPr>
            <w:tcW w:w="1530" w:type="dxa"/>
          </w:tcPr>
          <w:p w14:paraId="725DA952" w14:textId="77777777" w:rsidR="00AD3C0C" w:rsidRDefault="00AD3C0C">
            <w:pPr>
              <w:tabs>
                <w:tab w:val="left" w:pos="540"/>
              </w:tabs>
              <w:jc w:val="right"/>
              <w:rPr>
                <w:sz w:val="22"/>
              </w:rPr>
            </w:pPr>
          </w:p>
        </w:tc>
      </w:tr>
      <w:tr w:rsidR="00AD3C0C" w14:paraId="58987D22" w14:textId="77777777">
        <w:tc>
          <w:tcPr>
            <w:tcW w:w="5040" w:type="dxa"/>
          </w:tcPr>
          <w:p w14:paraId="38CCC2F5" w14:textId="77777777" w:rsidR="00AD3C0C" w:rsidRDefault="00AD3C0C">
            <w:pPr>
              <w:tabs>
                <w:tab w:val="left" w:pos="540"/>
              </w:tabs>
              <w:rPr>
                <w:sz w:val="22"/>
              </w:rPr>
            </w:pPr>
            <w:r>
              <w:rPr>
                <w:sz w:val="22"/>
              </w:rPr>
              <w:t>Dividend</w:t>
            </w:r>
          </w:p>
        </w:tc>
        <w:tc>
          <w:tcPr>
            <w:tcW w:w="1530" w:type="dxa"/>
          </w:tcPr>
          <w:p w14:paraId="2260047A" w14:textId="77777777" w:rsidR="00AD3C0C" w:rsidRDefault="00AD3C0C">
            <w:pPr>
              <w:tabs>
                <w:tab w:val="left" w:pos="540"/>
              </w:tabs>
              <w:jc w:val="right"/>
              <w:rPr>
                <w:sz w:val="22"/>
              </w:rPr>
            </w:pPr>
            <w:r>
              <w:rPr>
                <w:sz w:val="22"/>
              </w:rPr>
              <w:t>$10,000.00</w:t>
            </w:r>
          </w:p>
        </w:tc>
      </w:tr>
      <w:tr w:rsidR="00AD3C0C" w14:paraId="28B28EC1" w14:textId="77777777">
        <w:tc>
          <w:tcPr>
            <w:tcW w:w="5040" w:type="dxa"/>
          </w:tcPr>
          <w:p w14:paraId="6D055FC2" w14:textId="77777777" w:rsidR="00AD3C0C" w:rsidRDefault="00AD3C0C">
            <w:pPr>
              <w:tabs>
                <w:tab w:val="left" w:pos="540"/>
              </w:tabs>
              <w:rPr>
                <w:sz w:val="22"/>
              </w:rPr>
            </w:pPr>
            <w:r>
              <w:rPr>
                <w:sz w:val="22"/>
              </w:rPr>
              <w:t>Gross up (</w:t>
            </w:r>
            <w:r w:rsidR="00E07C3E">
              <w:rPr>
                <w:sz w:val="22"/>
              </w:rPr>
              <w:t>38</w:t>
            </w:r>
            <w:r>
              <w:rPr>
                <w:sz w:val="22"/>
              </w:rPr>
              <w:t>%)</w:t>
            </w:r>
          </w:p>
        </w:tc>
        <w:tc>
          <w:tcPr>
            <w:tcW w:w="1530" w:type="dxa"/>
          </w:tcPr>
          <w:p w14:paraId="02379096" w14:textId="77777777" w:rsidR="00AD3C0C" w:rsidRDefault="00E07C3E">
            <w:pPr>
              <w:tabs>
                <w:tab w:val="left" w:pos="540"/>
              </w:tabs>
              <w:jc w:val="right"/>
              <w:rPr>
                <w:sz w:val="22"/>
              </w:rPr>
            </w:pPr>
            <w:r>
              <w:rPr>
                <w:sz w:val="22"/>
              </w:rPr>
              <w:t>3,8</w:t>
            </w:r>
            <w:r w:rsidR="00AD3C0C">
              <w:rPr>
                <w:sz w:val="22"/>
              </w:rPr>
              <w:t>00.00</w:t>
            </w:r>
          </w:p>
        </w:tc>
      </w:tr>
      <w:tr w:rsidR="00AD3C0C" w14:paraId="6DB41728" w14:textId="77777777">
        <w:tc>
          <w:tcPr>
            <w:tcW w:w="5040" w:type="dxa"/>
          </w:tcPr>
          <w:p w14:paraId="651B47CC" w14:textId="77777777" w:rsidR="00AD3C0C" w:rsidRDefault="00AD3C0C">
            <w:pPr>
              <w:tabs>
                <w:tab w:val="left" w:pos="540"/>
              </w:tabs>
              <w:rPr>
                <w:sz w:val="22"/>
              </w:rPr>
            </w:pPr>
            <w:r>
              <w:rPr>
                <w:sz w:val="22"/>
              </w:rPr>
              <w:t>Grossed</w:t>
            </w:r>
            <w:r w:rsidR="00C70F95">
              <w:rPr>
                <w:sz w:val="22"/>
              </w:rPr>
              <w:t>–</w:t>
            </w:r>
            <w:r>
              <w:rPr>
                <w:sz w:val="22"/>
              </w:rPr>
              <w:t xml:space="preserve">up dividends </w:t>
            </w:r>
          </w:p>
        </w:tc>
        <w:tc>
          <w:tcPr>
            <w:tcW w:w="1530" w:type="dxa"/>
          </w:tcPr>
          <w:p w14:paraId="629E4B1A" w14:textId="77777777" w:rsidR="00AD3C0C" w:rsidRDefault="00AD3C0C">
            <w:pPr>
              <w:tabs>
                <w:tab w:val="left" w:pos="540"/>
              </w:tabs>
              <w:jc w:val="right"/>
              <w:rPr>
                <w:sz w:val="22"/>
              </w:rPr>
            </w:pPr>
            <w:r>
              <w:rPr>
                <w:sz w:val="22"/>
              </w:rPr>
              <w:t>1</w:t>
            </w:r>
            <w:r w:rsidR="00E07C3E">
              <w:rPr>
                <w:sz w:val="22"/>
              </w:rPr>
              <w:t>3,8</w:t>
            </w:r>
            <w:r>
              <w:rPr>
                <w:sz w:val="22"/>
              </w:rPr>
              <w:t>00.00</w:t>
            </w:r>
          </w:p>
        </w:tc>
      </w:tr>
      <w:tr w:rsidR="00AD3C0C" w14:paraId="6282FE15" w14:textId="77777777">
        <w:tc>
          <w:tcPr>
            <w:tcW w:w="5040" w:type="dxa"/>
          </w:tcPr>
          <w:p w14:paraId="30E95D42" w14:textId="77777777" w:rsidR="00AD3C0C" w:rsidRDefault="00AD3C0C">
            <w:pPr>
              <w:tabs>
                <w:tab w:val="left" w:pos="540"/>
              </w:tabs>
              <w:rPr>
                <w:sz w:val="22"/>
              </w:rPr>
            </w:pPr>
            <w:r>
              <w:rPr>
                <w:sz w:val="22"/>
              </w:rPr>
              <w:t>Federal Tax (</w:t>
            </w:r>
            <w:r w:rsidR="001A0C26">
              <w:rPr>
                <w:sz w:val="22"/>
              </w:rPr>
              <w:t>33</w:t>
            </w:r>
            <w:r>
              <w:rPr>
                <w:sz w:val="22"/>
              </w:rPr>
              <w:t>%)</w:t>
            </w:r>
          </w:p>
        </w:tc>
        <w:tc>
          <w:tcPr>
            <w:tcW w:w="1530" w:type="dxa"/>
          </w:tcPr>
          <w:p w14:paraId="03AB6D0B" w14:textId="77777777" w:rsidR="00AD3C0C" w:rsidRDefault="000757C1" w:rsidP="001A0C26">
            <w:pPr>
              <w:tabs>
                <w:tab w:val="left" w:pos="540"/>
              </w:tabs>
              <w:jc w:val="right"/>
              <w:rPr>
                <w:sz w:val="22"/>
              </w:rPr>
            </w:pPr>
            <w:r>
              <w:rPr>
                <w:sz w:val="22"/>
              </w:rPr>
              <w:t>4,</w:t>
            </w:r>
            <w:r w:rsidR="001A0C26">
              <w:rPr>
                <w:sz w:val="22"/>
              </w:rPr>
              <w:t>554</w:t>
            </w:r>
            <w:r w:rsidR="00AD3C0C">
              <w:rPr>
                <w:sz w:val="22"/>
              </w:rPr>
              <w:t>.00</w:t>
            </w:r>
          </w:p>
        </w:tc>
      </w:tr>
      <w:tr w:rsidR="00AD3C0C" w14:paraId="151A0F65" w14:textId="77777777">
        <w:tc>
          <w:tcPr>
            <w:tcW w:w="5040" w:type="dxa"/>
          </w:tcPr>
          <w:p w14:paraId="565A6995" w14:textId="77777777" w:rsidR="00AD3C0C" w:rsidRDefault="00AD3C0C">
            <w:pPr>
              <w:tabs>
                <w:tab w:val="left" w:pos="540"/>
              </w:tabs>
              <w:rPr>
                <w:sz w:val="22"/>
              </w:rPr>
            </w:pPr>
            <w:r>
              <w:rPr>
                <w:sz w:val="22"/>
              </w:rPr>
              <w:t>Less Federal Dividend Tax Credit (.</w:t>
            </w:r>
            <w:r w:rsidR="000757C1">
              <w:rPr>
                <w:sz w:val="22"/>
              </w:rPr>
              <w:t>150198</w:t>
            </w:r>
            <w:r>
              <w:rPr>
                <w:sz w:val="22"/>
              </w:rPr>
              <w:t xml:space="preserve"> x $1</w:t>
            </w:r>
            <w:r w:rsidR="000757C1">
              <w:rPr>
                <w:sz w:val="22"/>
              </w:rPr>
              <w:t>3,8</w:t>
            </w:r>
            <w:r>
              <w:rPr>
                <w:sz w:val="22"/>
              </w:rPr>
              <w:t>00)</w:t>
            </w:r>
          </w:p>
        </w:tc>
        <w:tc>
          <w:tcPr>
            <w:tcW w:w="1530" w:type="dxa"/>
          </w:tcPr>
          <w:p w14:paraId="65915FEE" w14:textId="77777777" w:rsidR="00AD3C0C" w:rsidRDefault="00AD3C0C">
            <w:pPr>
              <w:tabs>
                <w:tab w:val="left" w:pos="540"/>
              </w:tabs>
              <w:jc w:val="right"/>
              <w:rPr>
                <w:sz w:val="22"/>
              </w:rPr>
            </w:pPr>
            <w:r>
              <w:rPr>
                <w:sz w:val="22"/>
              </w:rPr>
              <w:t>(</w:t>
            </w:r>
            <w:r w:rsidR="00C55BA2">
              <w:rPr>
                <w:sz w:val="22"/>
              </w:rPr>
              <w:t>2</w:t>
            </w:r>
            <w:r>
              <w:rPr>
                <w:sz w:val="22"/>
              </w:rPr>
              <w:t>,</w:t>
            </w:r>
            <w:r w:rsidR="000757C1">
              <w:rPr>
                <w:sz w:val="22"/>
              </w:rPr>
              <w:t>072.73</w:t>
            </w:r>
            <w:r>
              <w:rPr>
                <w:sz w:val="22"/>
              </w:rPr>
              <w:t>)</w:t>
            </w:r>
          </w:p>
        </w:tc>
      </w:tr>
      <w:tr w:rsidR="00AD3C0C" w14:paraId="1A0C5E01" w14:textId="77777777">
        <w:tc>
          <w:tcPr>
            <w:tcW w:w="5040" w:type="dxa"/>
          </w:tcPr>
          <w:p w14:paraId="23CD58AE" w14:textId="77777777" w:rsidR="00AD3C0C" w:rsidRDefault="00AD3C0C">
            <w:pPr>
              <w:tabs>
                <w:tab w:val="left" w:pos="540"/>
              </w:tabs>
              <w:rPr>
                <w:sz w:val="22"/>
              </w:rPr>
            </w:pPr>
            <w:r>
              <w:rPr>
                <w:sz w:val="22"/>
              </w:rPr>
              <w:t>Federal Tax Payable</w:t>
            </w:r>
          </w:p>
        </w:tc>
        <w:tc>
          <w:tcPr>
            <w:tcW w:w="1530" w:type="dxa"/>
          </w:tcPr>
          <w:p w14:paraId="17CFCD86" w14:textId="77777777" w:rsidR="00AD3C0C" w:rsidRDefault="001A0C26" w:rsidP="001A0C26">
            <w:pPr>
              <w:tabs>
                <w:tab w:val="left" w:pos="540"/>
              </w:tabs>
              <w:jc w:val="right"/>
              <w:rPr>
                <w:sz w:val="22"/>
              </w:rPr>
            </w:pPr>
            <w:r>
              <w:rPr>
                <w:sz w:val="22"/>
              </w:rPr>
              <w:t>2,481.27</w:t>
            </w:r>
          </w:p>
        </w:tc>
      </w:tr>
      <w:tr w:rsidR="00AD3C0C" w14:paraId="750E5F72" w14:textId="77777777">
        <w:tc>
          <w:tcPr>
            <w:tcW w:w="5040" w:type="dxa"/>
          </w:tcPr>
          <w:p w14:paraId="677F1B69" w14:textId="77777777" w:rsidR="00AD3C0C" w:rsidRDefault="000757C1">
            <w:pPr>
              <w:tabs>
                <w:tab w:val="left" w:pos="540"/>
              </w:tabs>
              <w:rPr>
                <w:sz w:val="22"/>
              </w:rPr>
            </w:pPr>
            <w:r>
              <w:rPr>
                <w:sz w:val="22"/>
              </w:rPr>
              <w:t>Provincial Tax (.1316</w:t>
            </w:r>
            <w:r w:rsidR="00AD3C0C">
              <w:rPr>
                <w:sz w:val="22"/>
              </w:rPr>
              <w:t xml:space="preserve"> of $1</w:t>
            </w:r>
            <w:r>
              <w:rPr>
                <w:sz w:val="22"/>
              </w:rPr>
              <w:t>3,8</w:t>
            </w:r>
            <w:r w:rsidR="00AD3C0C">
              <w:rPr>
                <w:sz w:val="22"/>
              </w:rPr>
              <w:t>00)</w:t>
            </w:r>
          </w:p>
        </w:tc>
        <w:tc>
          <w:tcPr>
            <w:tcW w:w="1530" w:type="dxa"/>
          </w:tcPr>
          <w:p w14:paraId="124B7D30" w14:textId="77777777" w:rsidR="00AD3C0C" w:rsidRDefault="000757C1">
            <w:pPr>
              <w:tabs>
                <w:tab w:val="left" w:pos="540"/>
              </w:tabs>
              <w:jc w:val="right"/>
              <w:rPr>
                <w:sz w:val="22"/>
              </w:rPr>
            </w:pPr>
            <w:r>
              <w:rPr>
                <w:sz w:val="22"/>
              </w:rPr>
              <w:t>1,816.08</w:t>
            </w:r>
          </w:p>
        </w:tc>
      </w:tr>
      <w:tr w:rsidR="00AD3C0C" w14:paraId="7FF2E09D" w14:textId="77777777">
        <w:tc>
          <w:tcPr>
            <w:tcW w:w="5040" w:type="dxa"/>
          </w:tcPr>
          <w:p w14:paraId="43707D6B" w14:textId="77777777" w:rsidR="00AD3C0C" w:rsidRDefault="00AD3C0C" w:rsidP="000757C1">
            <w:pPr>
              <w:tabs>
                <w:tab w:val="left" w:pos="540"/>
              </w:tabs>
              <w:rPr>
                <w:sz w:val="22"/>
              </w:rPr>
            </w:pPr>
            <w:r>
              <w:rPr>
                <w:sz w:val="22"/>
              </w:rPr>
              <w:t>Less Provincial Tax credit (.</w:t>
            </w:r>
            <w:r w:rsidR="001814CA">
              <w:rPr>
                <w:sz w:val="22"/>
              </w:rPr>
              <w:t>1</w:t>
            </w:r>
            <w:r>
              <w:rPr>
                <w:sz w:val="22"/>
              </w:rPr>
              <w:t xml:space="preserve"> </w:t>
            </w:r>
            <w:r>
              <w:rPr>
                <w:sz w:val="22"/>
              </w:rPr>
              <w:sym w:font="Symbol" w:char="F0B4"/>
            </w:r>
            <w:r>
              <w:rPr>
                <w:sz w:val="22"/>
              </w:rPr>
              <w:t xml:space="preserve"> $1</w:t>
            </w:r>
            <w:r w:rsidR="000757C1">
              <w:rPr>
                <w:sz w:val="22"/>
              </w:rPr>
              <w:t>3,8</w:t>
            </w:r>
            <w:r>
              <w:rPr>
                <w:sz w:val="22"/>
              </w:rPr>
              <w:t>00)</w:t>
            </w:r>
          </w:p>
        </w:tc>
        <w:tc>
          <w:tcPr>
            <w:tcW w:w="1530" w:type="dxa"/>
          </w:tcPr>
          <w:p w14:paraId="4D884604" w14:textId="77777777" w:rsidR="00AD3C0C" w:rsidRDefault="00AD3C0C" w:rsidP="001814CA">
            <w:pPr>
              <w:tabs>
                <w:tab w:val="left" w:pos="540"/>
              </w:tabs>
              <w:jc w:val="right"/>
              <w:rPr>
                <w:sz w:val="22"/>
              </w:rPr>
            </w:pPr>
            <w:r>
              <w:rPr>
                <w:sz w:val="22"/>
              </w:rPr>
              <w:t>(</w:t>
            </w:r>
            <w:r w:rsidR="001814CA">
              <w:rPr>
                <w:sz w:val="22"/>
              </w:rPr>
              <w:t>1,380.00</w:t>
            </w:r>
            <w:r>
              <w:rPr>
                <w:sz w:val="22"/>
              </w:rPr>
              <w:t>)</w:t>
            </w:r>
          </w:p>
        </w:tc>
      </w:tr>
      <w:tr w:rsidR="00AD3C0C" w14:paraId="2D13481D" w14:textId="77777777">
        <w:tc>
          <w:tcPr>
            <w:tcW w:w="5040" w:type="dxa"/>
          </w:tcPr>
          <w:p w14:paraId="239FED15" w14:textId="77777777" w:rsidR="00AD3C0C" w:rsidRDefault="00AD3C0C">
            <w:pPr>
              <w:tabs>
                <w:tab w:val="left" w:pos="540"/>
              </w:tabs>
              <w:rPr>
                <w:sz w:val="22"/>
              </w:rPr>
            </w:pPr>
            <w:r>
              <w:rPr>
                <w:sz w:val="22"/>
              </w:rPr>
              <w:t>Provincial Tax Payable</w:t>
            </w:r>
          </w:p>
        </w:tc>
        <w:tc>
          <w:tcPr>
            <w:tcW w:w="1530" w:type="dxa"/>
          </w:tcPr>
          <w:p w14:paraId="495716D2" w14:textId="77777777" w:rsidR="00AD3C0C" w:rsidRDefault="001814CA">
            <w:pPr>
              <w:tabs>
                <w:tab w:val="left" w:pos="540"/>
              </w:tabs>
              <w:jc w:val="right"/>
              <w:rPr>
                <w:sz w:val="22"/>
              </w:rPr>
            </w:pPr>
            <w:r>
              <w:rPr>
                <w:sz w:val="22"/>
              </w:rPr>
              <w:t>436.08</w:t>
            </w:r>
          </w:p>
        </w:tc>
      </w:tr>
      <w:tr w:rsidR="00AD3C0C" w14:paraId="04750E8D" w14:textId="77777777">
        <w:tc>
          <w:tcPr>
            <w:tcW w:w="5040" w:type="dxa"/>
          </w:tcPr>
          <w:p w14:paraId="57C2417F" w14:textId="77777777" w:rsidR="00AD3C0C" w:rsidRDefault="00AD3C0C">
            <w:pPr>
              <w:tabs>
                <w:tab w:val="left" w:pos="540"/>
              </w:tabs>
              <w:rPr>
                <w:sz w:val="22"/>
              </w:rPr>
            </w:pPr>
            <w:r>
              <w:rPr>
                <w:sz w:val="22"/>
              </w:rPr>
              <w:t>Tax Payable</w:t>
            </w:r>
          </w:p>
        </w:tc>
        <w:tc>
          <w:tcPr>
            <w:tcW w:w="1530" w:type="dxa"/>
          </w:tcPr>
          <w:p w14:paraId="5257917B" w14:textId="77777777" w:rsidR="00AD3C0C" w:rsidRDefault="001814CA">
            <w:pPr>
              <w:tabs>
                <w:tab w:val="left" w:pos="540"/>
              </w:tabs>
              <w:jc w:val="right"/>
              <w:rPr>
                <w:sz w:val="22"/>
              </w:rPr>
            </w:pPr>
            <w:r>
              <w:rPr>
                <w:sz w:val="22"/>
              </w:rPr>
              <w:t>2,917.35</w:t>
            </w:r>
          </w:p>
        </w:tc>
      </w:tr>
    </w:tbl>
    <w:p w14:paraId="19BBFC29" w14:textId="77777777" w:rsidR="00AD3C0C" w:rsidRDefault="00AD3C0C">
      <w:pPr>
        <w:tabs>
          <w:tab w:val="left" w:pos="540"/>
        </w:tabs>
        <w:rPr>
          <w:sz w:val="22"/>
        </w:rPr>
      </w:pPr>
    </w:p>
    <w:p w14:paraId="5BC56891" w14:textId="77777777" w:rsidR="00C55BA2" w:rsidRDefault="00C55BA2">
      <w:pPr>
        <w:tabs>
          <w:tab w:val="left" w:pos="540"/>
        </w:tabs>
        <w:jc w:val="center"/>
        <w:rPr>
          <w:b/>
          <w:sz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440"/>
      </w:tblGrid>
      <w:tr w:rsidR="00AD3C0C" w14:paraId="3E70F4D0" w14:textId="77777777">
        <w:tc>
          <w:tcPr>
            <w:tcW w:w="4230" w:type="dxa"/>
          </w:tcPr>
          <w:p w14:paraId="3F495AF1" w14:textId="77777777" w:rsidR="00AD3C0C" w:rsidRDefault="00AD3C0C">
            <w:pPr>
              <w:tabs>
                <w:tab w:val="left" w:pos="540"/>
              </w:tabs>
              <w:jc w:val="center"/>
              <w:rPr>
                <w:sz w:val="22"/>
              </w:rPr>
            </w:pPr>
            <w:r>
              <w:rPr>
                <w:sz w:val="22"/>
              </w:rPr>
              <w:t>INTEREST</w:t>
            </w:r>
          </w:p>
        </w:tc>
        <w:tc>
          <w:tcPr>
            <w:tcW w:w="1440" w:type="dxa"/>
          </w:tcPr>
          <w:p w14:paraId="7C32A856" w14:textId="77777777" w:rsidR="00AD3C0C" w:rsidRDefault="00AD3C0C">
            <w:pPr>
              <w:tabs>
                <w:tab w:val="left" w:pos="540"/>
              </w:tabs>
              <w:jc w:val="right"/>
              <w:rPr>
                <w:sz w:val="22"/>
              </w:rPr>
            </w:pPr>
          </w:p>
        </w:tc>
      </w:tr>
      <w:tr w:rsidR="00AD3C0C" w14:paraId="498C0E2C" w14:textId="77777777">
        <w:tc>
          <w:tcPr>
            <w:tcW w:w="4230" w:type="dxa"/>
          </w:tcPr>
          <w:p w14:paraId="0E6C95EC" w14:textId="77777777" w:rsidR="00AD3C0C" w:rsidRDefault="00AD3C0C">
            <w:pPr>
              <w:tabs>
                <w:tab w:val="left" w:pos="540"/>
              </w:tabs>
              <w:rPr>
                <w:sz w:val="22"/>
              </w:rPr>
            </w:pPr>
            <w:r>
              <w:rPr>
                <w:sz w:val="22"/>
              </w:rPr>
              <w:t>Interest</w:t>
            </w:r>
          </w:p>
        </w:tc>
        <w:tc>
          <w:tcPr>
            <w:tcW w:w="1440" w:type="dxa"/>
          </w:tcPr>
          <w:p w14:paraId="76C047B6" w14:textId="77777777" w:rsidR="00AD3C0C" w:rsidRDefault="00AD3C0C">
            <w:pPr>
              <w:tabs>
                <w:tab w:val="left" w:pos="540"/>
              </w:tabs>
              <w:jc w:val="right"/>
              <w:rPr>
                <w:sz w:val="22"/>
              </w:rPr>
            </w:pPr>
            <w:r>
              <w:rPr>
                <w:sz w:val="22"/>
              </w:rPr>
              <w:t>$10,000.00</w:t>
            </w:r>
          </w:p>
        </w:tc>
      </w:tr>
      <w:tr w:rsidR="00AD3C0C" w14:paraId="35C8E394" w14:textId="77777777">
        <w:tc>
          <w:tcPr>
            <w:tcW w:w="4230" w:type="dxa"/>
          </w:tcPr>
          <w:p w14:paraId="1D088DF8" w14:textId="77777777" w:rsidR="00AD3C0C" w:rsidRDefault="00AD3C0C">
            <w:pPr>
              <w:tabs>
                <w:tab w:val="left" w:pos="540"/>
              </w:tabs>
              <w:rPr>
                <w:sz w:val="22"/>
              </w:rPr>
            </w:pPr>
            <w:r>
              <w:rPr>
                <w:sz w:val="22"/>
              </w:rPr>
              <w:t>Federal Tax (</w:t>
            </w:r>
            <w:r w:rsidR="00FA2328">
              <w:rPr>
                <w:sz w:val="22"/>
              </w:rPr>
              <w:t>33</w:t>
            </w:r>
            <w:r>
              <w:rPr>
                <w:sz w:val="22"/>
              </w:rPr>
              <w:t>%)</w:t>
            </w:r>
          </w:p>
        </w:tc>
        <w:tc>
          <w:tcPr>
            <w:tcW w:w="1440" w:type="dxa"/>
          </w:tcPr>
          <w:p w14:paraId="6C3B30B8" w14:textId="77777777" w:rsidR="00AD3C0C" w:rsidRDefault="00FA2328">
            <w:pPr>
              <w:tabs>
                <w:tab w:val="left" w:pos="540"/>
              </w:tabs>
              <w:jc w:val="right"/>
              <w:rPr>
                <w:sz w:val="22"/>
              </w:rPr>
            </w:pPr>
            <w:r>
              <w:rPr>
                <w:sz w:val="22"/>
              </w:rPr>
              <w:t>3</w:t>
            </w:r>
            <w:r w:rsidR="00AD3C0C">
              <w:rPr>
                <w:sz w:val="22"/>
              </w:rPr>
              <w:t>,</w:t>
            </w:r>
            <w:r>
              <w:rPr>
                <w:sz w:val="22"/>
              </w:rPr>
              <w:t>3</w:t>
            </w:r>
            <w:r w:rsidR="00AD3C0C">
              <w:rPr>
                <w:sz w:val="22"/>
              </w:rPr>
              <w:t>00.00</w:t>
            </w:r>
          </w:p>
        </w:tc>
      </w:tr>
      <w:tr w:rsidR="00AD3C0C" w14:paraId="05727FB8" w14:textId="77777777">
        <w:tc>
          <w:tcPr>
            <w:tcW w:w="4230" w:type="dxa"/>
          </w:tcPr>
          <w:p w14:paraId="76CF6B6C" w14:textId="77777777" w:rsidR="00AD3C0C" w:rsidRDefault="00AD3C0C" w:rsidP="00C16CF9">
            <w:pPr>
              <w:tabs>
                <w:tab w:val="left" w:pos="540"/>
              </w:tabs>
              <w:rPr>
                <w:sz w:val="22"/>
              </w:rPr>
            </w:pPr>
            <w:r>
              <w:rPr>
                <w:sz w:val="22"/>
              </w:rPr>
              <w:t>Provincial Tax (</w:t>
            </w:r>
            <w:r w:rsidR="00C16CF9">
              <w:rPr>
                <w:sz w:val="22"/>
              </w:rPr>
              <w:t>13.16</w:t>
            </w:r>
            <w:r>
              <w:rPr>
                <w:sz w:val="22"/>
              </w:rPr>
              <w:t>%)</w:t>
            </w:r>
          </w:p>
        </w:tc>
        <w:tc>
          <w:tcPr>
            <w:tcW w:w="1440" w:type="dxa"/>
          </w:tcPr>
          <w:p w14:paraId="0E58F317" w14:textId="77777777" w:rsidR="00AD3C0C" w:rsidRDefault="00C16CF9">
            <w:pPr>
              <w:tabs>
                <w:tab w:val="left" w:pos="540"/>
              </w:tabs>
              <w:jc w:val="right"/>
              <w:rPr>
                <w:sz w:val="22"/>
              </w:rPr>
            </w:pPr>
            <w:r>
              <w:rPr>
                <w:sz w:val="22"/>
              </w:rPr>
              <w:t>1,316</w:t>
            </w:r>
            <w:r w:rsidR="00AD3C0C">
              <w:rPr>
                <w:sz w:val="22"/>
              </w:rPr>
              <w:t>.00</w:t>
            </w:r>
          </w:p>
        </w:tc>
      </w:tr>
      <w:tr w:rsidR="00AD3C0C" w14:paraId="451DB6DC" w14:textId="77777777">
        <w:tc>
          <w:tcPr>
            <w:tcW w:w="4230" w:type="dxa"/>
          </w:tcPr>
          <w:p w14:paraId="149A5877" w14:textId="77777777" w:rsidR="00AD3C0C" w:rsidRDefault="00AD3C0C">
            <w:pPr>
              <w:tabs>
                <w:tab w:val="left" w:pos="540"/>
              </w:tabs>
              <w:rPr>
                <w:sz w:val="22"/>
              </w:rPr>
            </w:pPr>
            <w:r>
              <w:rPr>
                <w:sz w:val="22"/>
              </w:rPr>
              <w:t xml:space="preserve">Tax Payable    </w:t>
            </w:r>
          </w:p>
        </w:tc>
        <w:tc>
          <w:tcPr>
            <w:tcW w:w="1440" w:type="dxa"/>
          </w:tcPr>
          <w:p w14:paraId="00407D90" w14:textId="77777777" w:rsidR="00AD3C0C" w:rsidRDefault="00AD3C0C">
            <w:pPr>
              <w:tabs>
                <w:tab w:val="left" w:pos="540"/>
              </w:tabs>
              <w:jc w:val="right"/>
              <w:rPr>
                <w:sz w:val="22"/>
              </w:rPr>
            </w:pPr>
            <w:r>
              <w:rPr>
                <w:sz w:val="22"/>
              </w:rPr>
              <w:t>$</w:t>
            </w:r>
            <w:r w:rsidR="00C16CF9">
              <w:rPr>
                <w:sz w:val="22"/>
              </w:rPr>
              <w:t>4,</w:t>
            </w:r>
            <w:r w:rsidR="00FA2328">
              <w:rPr>
                <w:sz w:val="22"/>
              </w:rPr>
              <w:t>6</w:t>
            </w:r>
            <w:r w:rsidR="00C16CF9">
              <w:rPr>
                <w:sz w:val="22"/>
              </w:rPr>
              <w:t>16</w:t>
            </w:r>
            <w:r>
              <w:rPr>
                <w:sz w:val="22"/>
              </w:rPr>
              <w:t>.00</w:t>
            </w:r>
          </w:p>
        </w:tc>
      </w:tr>
    </w:tbl>
    <w:p w14:paraId="1FFCDC95" w14:textId="77777777" w:rsidR="00AD3C0C" w:rsidRDefault="00AD3C0C">
      <w:pPr>
        <w:tabs>
          <w:tab w:val="left" w:pos="540"/>
        </w:tabs>
        <w:rPr>
          <w:sz w:val="22"/>
        </w:rPr>
      </w:pPr>
    </w:p>
    <w:p w14:paraId="42A70D01" w14:textId="77777777" w:rsidR="00AD3C0C" w:rsidRDefault="00AD3C0C">
      <w:pPr>
        <w:tabs>
          <w:tab w:val="left" w:pos="540"/>
        </w:tabs>
        <w:jc w:val="center"/>
        <w:rPr>
          <w:b/>
          <w:sz w:val="22"/>
        </w:rPr>
      </w:pP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30"/>
        <w:gridCol w:w="1440"/>
      </w:tblGrid>
      <w:tr w:rsidR="00AD3C0C" w14:paraId="7C904A5D" w14:textId="77777777">
        <w:tc>
          <w:tcPr>
            <w:tcW w:w="4230" w:type="dxa"/>
          </w:tcPr>
          <w:p w14:paraId="1DAAC724" w14:textId="77777777" w:rsidR="00AD3C0C" w:rsidRDefault="00AD3C0C">
            <w:pPr>
              <w:tabs>
                <w:tab w:val="left" w:pos="540"/>
              </w:tabs>
              <w:jc w:val="center"/>
              <w:rPr>
                <w:sz w:val="22"/>
              </w:rPr>
            </w:pPr>
            <w:r>
              <w:rPr>
                <w:sz w:val="22"/>
              </w:rPr>
              <w:t>CAPITAL GAINS</w:t>
            </w:r>
          </w:p>
        </w:tc>
        <w:tc>
          <w:tcPr>
            <w:tcW w:w="1440" w:type="dxa"/>
          </w:tcPr>
          <w:p w14:paraId="3BA67982" w14:textId="77777777" w:rsidR="00AD3C0C" w:rsidRDefault="00AD3C0C">
            <w:pPr>
              <w:tabs>
                <w:tab w:val="left" w:pos="540"/>
              </w:tabs>
              <w:jc w:val="right"/>
              <w:rPr>
                <w:sz w:val="22"/>
              </w:rPr>
            </w:pPr>
          </w:p>
        </w:tc>
      </w:tr>
      <w:tr w:rsidR="00AD3C0C" w14:paraId="6415F67C" w14:textId="77777777">
        <w:tc>
          <w:tcPr>
            <w:tcW w:w="4230" w:type="dxa"/>
          </w:tcPr>
          <w:p w14:paraId="4681BF55" w14:textId="77777777" w:rsidR="00AD3C0C" w:rsidRDefault="00AD3C0C">
            <w:pPr>
              <w:tabs>
                <w:tab w:val="left" w:pos="540"/>
              </w:tabs>
              <w:rPr>
                <w:sz w:val="22"/>
              </w:rPr>
            </w:pPr>
            <w:r>
              <w:rPr>
                <w:sz w:val="22"/>
              </w:rPr>
              <w:t>Capital Gain</w:t>
            </w:r>
          </w:p>
        </w:tc>
        <w:tc>
          <w:tcPr>
            <w:tcW w:w="1440" w:type="dxa"/>
          </w:tcPr>
          <w:p w14:paraId="7A95E8EE" w14:textId="77777777" w:rsidR="00AD3C0C" w:rsidRDefault="00AD3C0C">
            <w:pPr>
              <w:tabs>
                <w:tab w:val="left" w:pos="540"/>
              </w:tabs>
              <w:jc w:val="right"/>
              <w:rPr>
                <w:sz w:val="22"/>
              </w:rPr>
            </w:pPr>
            <w:r>
              <w:rPr>
                <w:sz w:val="22"/>
              </w:rPr>
              <w:t>$10,000.00</w:t>
            </w:r>
          </w:p>
        </w:tc>
      </w:tr>
      <w:tr w:rsidR="00AD3C0C" w14:paraId="6F0E970A" w14:textId="77777777">
        <w:tc>
          <w:tcPr>
            <w:tcW w:w="4230" w:type="dxa"/>
          </w:tcPr>
          <w:p w14:paraId="399DCEFC" w14:textId="77777777" w:rsidR="00AD3C0C" w:rsidRDefault="00AD3C0C">
            <w:pPr>
              <w:tabs>
                <w:tab w:val="left" w:pos="540"/>
              </w:tabs>
              <w:rPr>
                <w:sz w:val="22"/>
              </w:rPr>
            </w:pPr>
            <w:r>
              <w:rPr>
                <w:sz w:val="22"/>
              </w:rPr>
              <w:t>Federal Tax (</w:t>
            </w:r>
            <w:r w:rsidR="00C825C6">
              <w:rPr>
                <w:sz w:val="22"/>
              </w:rPr>
              <w:t>33</w:t>
            </w:r>
            <w:r>
              <w:rPr>
                <w:sz w:val="22"/>
              </w:rPr>
              <w:t>% x $10,000 x 1/2)</w:t>
            </w:r>
          </w:p>
        </w:tc>
        <w:tc>
          <w:tcPr>
            <w:tcW w:w="1440" w:type="dxa"/>
          </w:tcPr>
          <w:p w14:paraId="761A6E83" w14:textId="77777777" w:rsidR="00AD3C0C" w:rsidRDefault="00825947" w:rsidP="00825947">
            <w:pPr>
              <w:tabs>
                <w:tab w:val="left" w:pos="540"/>
              </w:tabs>
              <w:jc w:val="right"/>
              <w:rPr>
                <w:sz w:val="22"/>
              </w:rPr>
            </w:pPr>
            <w:r>
              <w:rPr>
                <w:sz w:val="22"/>
              </w:rPr>
              <w:t>1,</w:t>
            </w:r>
            <w:r w:rsidR="00EB4FF5">
              <w:rPr>
                <w:sz w:val="22"/>
              </w:rPr>
              <w:t>6</w:t>
            </w:r>
            <w:r>
              <w:rPr>
                <w:sz w:val="22"/>
              </w:rPr>
              <w:t>5</w:t>
            </w:r>
            <w:r w:rsidR="00AD3C0C">
              <w:rPr>
                <w:sz w:val="22"/>
              </w:rPr>
              <w:t>0.00</w:t>
            </w:r>
          </w:p>
        </w:tc>
      </w:tr>
      <w:tr w:rsidR="00AD3C0C" w14:paraId="55ABF24C" w14:textId="77777777">
        <w:tc>
          <w:tcPr>
            <w:tcW w:w="4230" w:type="dxa"/>
          </w:tcPr>
          <w:p w14:paraId="1DC559CA" w14:textId="77777777" w:rsidR="00AD3C0C" w:rsidRDefault="00AD3C0C" w:rsidP="00825947">
            <w:pPr>
              <w:tabs>
                <w:tab w:val="left" w:pos="540"/>
              </w:tabs>
              <w:rPr>
                <w:sz w:val="22"/>
              </w:rPr>
            </w:pPr>
            <w:r>
              <w:rPr>
                <w:sz w:val="22"/>
              </w:rPr>
              <w:t>Provincial Tax (</w:t>
            </w:r>
            <w:r w:rsidR="00825947">
              <w:rPr>
                <w:sz w:val="22"/>
              </w:rPr>
              <w:t>13.16</w:t>
            </w:r>
            <w:r w:rsidR="009E3F7B">
              <w:rPr>
                <w:sz w:val="22"/>
              </w:rPr>
              <w:t>% x $10,000 x 1/2</w:t>
            </w:r>
            <w:r>
              <w:rPr>
                <w:sz w:val="22"/>
              </w:rPr>
              <w:t>)</w:t>
            </w:r>
          </w:p>
        </w:tc>
        <w:tc>
          <w:tcPr>
            <w:tcW w:w="1440" w:type="dxa"/>
          </w:tcPr>
          <w:p w14:paraId="3712574D" w14:textId="77777777" w:rsidR="00AD3C0C" w:rsidRDefault="00825947">
            <w:pPr>
              <w:tabs>
                <w:tab w:val="left" w:pos="540"/>
              </w:tabs>
              <w:jc w:val="right"/>
              <w:rPr>
                <w:sz w:val="22"/>
              </w:rPr>
            </w:pPr>
            <w:r>
              <w:rPr>
                <w:sz w:val="22"/>
              </w:rPr>
              <w:t>658.00</w:t>
            </w:r>
          </w:p>
        </w:tc>
      </w:tr>
      <w:tr w:rsidR="00AD3C0C" w14:paraId="004363CE" w14:textId="77777777">
        <w:tc>
          <w:tcPr>
            <w:tcW w:w="4230" w:type="dxa"/>
          </w:tcPr>
          <w:p w14:paraId="407B38D5" w14:textId="77777777" w:rsidR="00AD3C0C" w:rsidRDefault="00AD3C0C">
            <w:pPr>
              <w:tabs>
                <w:tab w:val="left" w:pos="540"/>
              </w:tabs>
              <w:rPr>
                <w:sz w:val="22"/>
              </w:rPr>
            </w:pPr>
            <w:r>
              <w:rPr>
                <w:sz w:val="22"/>
              </w:rPr>
              <w:t xml:space="preserve">Tax Payable    </w:t>
            </w:r>
          </w:p>
        </w:tc>
        <w:tc>
          <w:tcPr>
            <w:tcW w:w="1440" w:type="dxa"/>
          </w:tcPr>
          <w:p w14:paraId="52401A72" w14:textId="77777777" w:rsidR="00AD3C0C" w:rsidRDefault="00AD3C0C" w:rsidP="00825947">
            <w:pPr>
              <w:tabs>
                <w:tab w:val="left" w:pos="540"/>
              </w:tabs>
              <w:jc w:val="right"/>
              <w:rPr>
                <w:sz w:val="22"/>
              </w:rPr>
            </w:pPr>
            <w:r>
              <w:rPr>
                <w:sz w:val="22"/>
              </w:rPr>
              <w:t>$</w:t>
            </w:r>
            <w:r w:rsidR="00825947">
              <w:rPr>
                <w:sz w:val="22"/>
              </w:rPr>
              <w:t>2,</w:t>
            </w:r>
            <w:r w:rsidR="00EB4FF5">
              <w:rPr>
                <w:sz w:val="22"/>
              </w:rPr>
              <w:t>3</w:t>
            </w:r>
            <w:r w:rsidR="00825947">
              <w:rPr>
                <w:sz w:val="22"/>
              </w:rPr>
              <w:t>08.00</w:t>
            </w:r>
          </w:p>
        </w:tc>
      </w:tr>
    </w:tbl>
    <w:p w14:paraId="345887E4" w14:textId="77777777" w:rsidR="00AD3C0C" w:rsidRDefault="00AD3C0C">
      <w:pPr>
        <w:tabs>
          <w:tab w:val="left" w:pos="540"/>
        </w:tabs>
        <w:rPr>
          <w:sz w:val="22"/>
        </w:rPr>
      </w:pPr>
    </w:p>
    <w:p w14:paraId="4361F631" w14:textId="77777777" w:rsidR="00AD3C0C" w:rsidRPr="00275487" w:rsidRDefault="002664A4" w:rsidP="002664A4">
      <w:pPr>
        <w:tabs>
          <w:tab w:val="left" w:pos="720"/>
        </w:tabs>
        <w:rPr>
          <w:color w:val="000000" w:themeColor="text1"/>
          <w:sz w:val="22"/>
        </w:rPr>
      </w:pPr>
      <w:r>
        <w:rPr>
          <w:sz w:val="22"/>
        </w:rPr>
        <w:tab/>
      </w:r>
      <w:r w:rsidR="006801D1">
        <w:rPr>
          <w:sz w:val="22"/>
        </w:rPr>
        <w:tab/>
      </w:r>
      <w:r w:rsidR="005C40BB" w:rsidRPr="00275487">
        <w:rPr>
          <w:color w:val="000000" w:themeColor="text1"/>
          <w:sz w:val="22"/>
        </w:rPr>
        <w:t xml:space="preserve">After tax cash flow </w:t>
      </w:r>
      <w:r w:rsidR="00AD3C0C" w:rsidRPr="00275487">
        <w:rPr>
          <w:color w:val="000000" w:themeColor="text1"/>
          <w:sz w:val="22"/>
        </w:rPr>
        <w:t>from Dividends = $10,000</w:t>
      </w:r>
      <w:r w:rsidR="00E9049F" w:rsidRPr="00275487">
        <w:rPr>
          <w:color w:val="000000" w:themeColor="text1"/>
          <w:sz w:val="22"/>
        </w:rPr>
        <w:t>.00</w:t>
      </w:r>
      <w:r w:rsidR="00AD3C0C" w:rsidRPr="00275487">
        <w:rPr>
          <w:color w:val="000000" w:themeColor="text1"/>
          <w:sz w:val="22"/>
        </w:rPr>
        <w:t xml:space="preserve"> </w:t>
      </w:r>
      <w:r w:rsidR="00C70F95" w:rsidRPr="00275487">
        <w:rPr>
          <w:color w:val="000000" w:themeColor="text1"/>
          <w:sz w:val="22"/>
        </w:rPr>
        <w:t>–</w:t>
      </w:r>
      <w:r w:rsidR="00AD3C0C" w:rsidRPr="00275487">
        <w:rPr>
          <w:color w:val="000000" w:themeColor="text1"/>
          <w:sz w:val="22"/>
        </w:rPr>
        <w:t xml:space="preserve"> $</w:t>
      </w:r>
      <w:r w:rsidR="00DE33E4" w:rsidRPr="00275487">
        <w:rPr>
          <w:color w:val="000000" w:themeColor="text1"/>
          <w:sz w:val="22"/>
        </w:rPr>
        <w:t>2,917.35</w:t>
      </w:r>
      <w:r w:rsidR="00AD3C0C" w:rsidRPr="00275487">
        <w:rPr>
          <w:color w:val="000000" w:themeColor="text1"/>
          <w:sz w:val="22"/>
        </w:rPr>
        <w:t xml:space="preserve"> = $</w:t>
      </w:r>
      <w:r w:rsidR="00DE33E4" w:rsidRPr="00275487">
        <w:rPr>
          <w:color w:val="000000" w:themeColor="text1"/>
          <w:sz w:val="22"/>
        </w:rPr>
        <w:t>7,082.65</w:t>
      </w:r>
    </w:p>
    <w:p w14:paraId="202E9F27" w14:textId="77777777" w:rsidR="00AD3C0C" w:rsidRPr="00275487" w:rsidRDefault="002664A4" w:rsidP="002664A4">
      <w:pPr>
        <w:pStyle w:val="TableBody"/>
        <w:keepNext w:val="0"/>
        <w:tabs>
          <w:tab w:val="left" w:pos="720"/>
        </w:tabs>
        <w:rPr>
          <w:color w:val="000000" w:themeColor="text1"/>
          <w:lang w:val="en-CA"/>
        </w:rPr>
      </w:pPr>
      <w:r w:rsidRPr="00275487">
        <w:rPr>
          <w:color w:val="000000" w:themeColor="text1"/>
          <w:lang w:val="en-CA"/>
        </w:rPr>
        <w:tab/>
      </w:r>
      <w:r w:rsidR="006801D1" w:rsidRPr="00275487">
        <w:rPr>
          <w:color w:val="000000" w:themeColor="text1"/>
          <w:lang w:val="en-CA"/>
        </w:rPr>
        <w:tab/>
      </w:r>
      <w:r w:rsidR="005C40BB" w:rsidRPr="00275487">
        <w:rPr>
          <w:color w:val="000000" w:themeColor="text1"/>
          <w:lang w:val="en-CA"/>
        </w:rPr>
        <w:t xml:space="preserve">After tax cash flow </w:t>
      </w:r>
      <w:r w:rsidR="00AD3C0C" w:rsidRPr="00275487">
        <w:rPr>
          <w:color w:val="000000" w:themeColor="text1"/>
          <w:lang w:val="en-CA"/>
        </w:rPr>
        <w:t>from Interest = $10,000</w:t>
      </w:r>
      <w:r w:rsidR="00E9049F" w:rsidRPr="00275487">
        <w:rPr>
          <w:color w:val="000000" w:themeColor="text1"/>
          <w:lang w:val="en-CA"/>
        </w:rPr>
        <w:t>.00</w:t>
      </w:r>
      <w:r w:rsidR="00AD3C0C" w:rsidRPr="00275487">
        <w:rPr>
          <w:color w:val="000000" w:themeColor="text1"/>
          <w:lang w:val="en-CA"/>
        </w:rPr>
        <w:t xml:space="preserve"> </w:t>
      </w:r>
      <w:r w:rsidR="00C70F95" w:rsidRPr="00275487">
        <w:rPr>
          <w:color w:val="000000" w:themeColor="text1"/>
          <w:lang w:val="en-CA"/>
        </w:rPr>
        <w:t>–</w:t>
      </w:r>
      <w:r w:rsidR="00AD3C0C" w:rsidRPr="00275487">
        <w:rPr>
          <w:color w:val="000000" w:themeColor="text1"/>
          <w:lang w:val="en-CA"/>
        </w:rPr>
        <w:t xml:space="preserve"> $</w:t>
      </w:r>
      <w:r w:rsidR="00AF33AF" w:rsidRPr="00275487">
        <w:rPr>
          <w:color w:val="000000" w:themeColor="text1"/>
          <w:lang w:val="en-CA"/>
        </w:rPr>
        <w:t>4,</w:t>
      </w:r>
      <w:r w:rsidR="00DE33E4" w:rsidRPr="00275487">
        <w:rPr>
          <w:color w:val="000000" w:themeColor="text1"/>
          <w:lang w:val="en-CA"/>
        </w:rPr>
        <w:t>6</w:t>
      </w:r>
      <w:r w:rsidR="00AF33AF" w:rsidRPr="00275487">
        <w:rPr>
          <w:color w:val="000000" w:themeColor="text1"/>
          <w:lang w:val="en-CA"/>
        </w:rPr>
        <w:t>16</w:t>
      </w:r>
      <w:r w:rsidR="00E9049F" w:rsidRPr="00275487">
        <w:rPr>
          <w:color w:val="000000" w:themeColor="text1"/>
          <w:lang w:val="en-CA"/>
        </w:rPr>
        <w:t>.00</w:t>
      </w:r>
      <w:r w:rsidR="00AD3C0C" w:rsidRPr="00275487">
        <w:rPr>
          <w:color w:val="000000" w:themeColor="text1"/>
          <w:lang w:val="en-CA"/>
        </w:rPr>
        <w:t xml:space="preserve"> = $</w:t>
      </w:r>
      <w:r w:rsidR="00DE33E4" w:rsidRPr="00275487">
        <w:rPr>
          <w:color w:val="000000" w:themeColor="text1"/>
          <w:lang w:val="en-CA"/>
        </w:rPr>
        <w:t>5,384.00</w:t>
      </w:r>
    </w:p>
    <w:p w14:paraId="379C5D7B" w14:textId="77777777" w:rsidR="00AD3C0C" w:rsidRPr="00275487" w:rsidRDefault="002664A4" w:rsidP="002664A4">
      <w:pPr>
        <w:pStyle w:val="TableBody"/>
        <w:keepNext w:val="0"/>
        <w:tabs>
          <w:tab w:val="left" w:pos="720"/>
        </w:tabs>
        <w:rPr>
          <w:color w:val="000000" w:themeColor="text1"/>
          <w:lang w:val="en-CA"/>
        </w:rPr>
      </w:pPr>
      <w:r w:rsidRPr="00275487">
        <w:rPr>
          <w:color w:val="000000" w:themeColor="text1"/>
          <w:lang w:val="en-CA"/>
        </w:rPr>
        <w:tab/>
      </w:r>
      <w:r w:rsidR="006801D1" w:rsidRPr="00275487">
        <w:rPr>
          <w:color w:val="000000" w:themeColor="text1"/>
          <w:lang w:val="en-CA"/>
        </w:rPr>
        <w:tab/>
      </w:r>
      <w:r w:rsidR="005C40BB" w:rsidRPr="00275487">
        <w:rPr>
          <w:color w:val="000000" w:themeColor="text1"/>
          <w:lang w:val="en-CA"/>
        </w:rPr>
        <w:t xml:space="preserve">After tax cash flow </w:t>
      </w:r>
      <w:r w:rsidR="00AD3C0C" w:rsidRPr="00275487">
        <w:rPr>
          <w:color w:val="000000" w:themeColor="text1"/>
          <w:lang w:val="en-CA"/>
        </w:rPr>
        <w:t>from Capital Gains = $10,000</w:t>
      </w:r>
      <w:r w:rsidR="00E9049F" w:rsidRPr="00275487">
        <w:rPr>
          <w:color w:val="000000" w:themeColor="text1"/>
          <w:lang w:val="en-CA"/>
        </w:rPr>
        <w:t>.00</w:t>
      </w:r>
      <w:r w:rsidR="00AD3C0C" w:rsidRPr="00275487">
        <w:rPr>
          <w:color w:val="000000" w:themeColor="text1"/>
          <w:lang w:val="en-CA"/>
        </w:rPr>
        <w:t xml:space="preserve"> </w:t>
      </w:r>
      <w:r w:rsidR="00C70F95" w:rsidRPr="00275487">
        <w:rPr>
          <w:color w:val="000000" w:themeColor="text1"/>
          <w:lang w:val="en-CA"/>
        </w:rPr>
        <w:t>–</w:t>
      </w:r>
      <w:r w:rsidR="00AF33AF" w:rsidRPr="00275487">
        <w:rPr>
          <w:color w:val="000000" w:themeColor="text1"/>
          <w:lang w:val="en-CA"/>
        </w:rPr>
        <w:t xml:space="preserve"> $2,</w:t>
      </w:r>
      <w:r w:rsidR="00DE33E4" w:rsidRPr="00275487">
        <w:rPr>
          <w:color w:val="000000" w:themeColor="text1"/>
          <w:lang w:val="en-CA"/>
        </w:rPr>
        <w:t>3</w:t>
      </w:r>
      <w:r w:rsidR="00AF33AF" w:rsidRPr="00275487">
        <w:rPr>
          <w:color w:val="000000" w:themeColor="text1"/>
          <w:lang w:val="en-CA"/>
        </w:rPr>
        <w:t>08 = $7,</w:t>
      </w:r>
      <w:r w:rsidR="00DE33E4" w:rsidRPr="00275487">
        <w:rPr>
          <w:color w:val="000000" w:themeColor="text1"/>
          <w:lang w:val="en-CA"/>
        </w:rPr>
        <w:t>6</w:t>
      </w:r>
      <w:r w:rsidR="00AF33AF" w:rsidRPr="00275487">
        <w:rPr>
          <w:color w:val="000000" w:themeColor="text1"/>
          <w:lang w:val="en-CA"/>
        </w:rPr>
        <w:t>92.00</w:t>
      </w:r>
    </w:p>
    <w:p w14:paraId="04BB0803" w14:textId="77777777" w:rsidR="00AD3C0C" w:rsidRDefault="00AD3C0C" w:rsidP="002664A4">
      <w:pPr>
        <w:tabs>
          <w:tab w:val="left" w:pos="720"/>
        </w:tabs>
        <w:rPr>
          <w:sz w:val="22"/>
        </w:rPr>
      </w:pPr>
      <w:r>
        <w:rPr>
          <w:sz w:val="22"/>
        </w:rPr>
        <w:tab/>
      </w:r>
      <w:r>
        <w:rPr>
          <w:sz w:val="22"/>
        </w:rPr>
        <w:tab/>
      </w:r>
    </w:p>
    <w:p w14:paraId="162F03C7" w14:textId="77777777" w:rsidR="00AD3C0C" w:rsidRPr="00873EB1" w:rsidRDefault="002664A4" w:rsidP="002664A4">
      <w:pPr>
        <w:tabs>
          <w:tab w:val="left" w:pos="720"/>
        </w:tabs>
        <w:rPr>
          <w:sz w:val="22"/>
        </w:rPr>
      </w:pPr>
      <w:r>
        <w:tab/>
      </w:r>
      <w:r w:rsidR="006801D1">
        <w:tab/>
      </w:r>
      <w:r w:rsidR="00AD3C0C">
        <w:t xml:space="preserve">Total (after </w:t>
      </w:r>
      <w:r w:rsidR="00AF33AF">
        <w:t>tax) Cash Flow = $</w:t>
      </w:r>
      <w:r w:rsidR="00DE33E4">
        <w:t>20,158.65</w:t>
      </w:r>
      <w:r w:rsidR="00AD3C0C">
        <w:t xml:space="preserve"> </w:t>
      </w:r>
    </w:p>
    <w:sectPr w:rsidR="00AD3C0C" w:rsidRPr="00873EB1" w:rsidSect="00B72F6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FEABD1" w14:textId="77777777" w:rsidR="00E5737B" w:rsidRDefault="00E5737B">
      <w:r>
        <w:separator/>
      </w:r>
    </w:p>
  </w:endnote>
  <w:endnote w:type="continuationSeparator" w:id="0">
    <w:p w14:paraId="718E330F" w14:textId="77777777" w:rsidR="00E5737B" w:rsidRDefault="00E57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21C68" w14:textId="77777777" w:rsidR="00FC04CD" w:rsidRPr="00F221CF" w:rsidRDefault="00FC04CD" w:rsidP="00002ABD">
    <w:pPr>
      <w:pStyle w:val="Footer"/>
      <w:jc w:val="center"/>
      <w:rPr>
        <w:sz w:val="18"/>
        <w:szCs w:val="18"/>
      </w:rPr>
    </w:pPr>
    <w:r w:rsidRPr="00F221CF">
      <w:rPr>
        <w:sz w:val="18"/>
        <w:szCs w:val="18"/>
      </w:rPr>
      <w:t>Ross</w:t>
    </w:r>
    <w:r w:rsidR="00012AD0">
      <w:rPr>
        <w:sz w:val="18"/>
        <w:szCs w:val="18"/>
      </w:rPr>
      <w:t xml:space="preserve"> et al,</w:t>
    </w:r>
    <w:r w:rsidRPr="00F221CF">
      <w:rPr>
        <w:sz w:val="18"/>
        <w:szCs w:val="18"/>
      </w:rPr>
      <w:t xml:space="preserve"> </w:t>
    </w:r>
    <w:r w:rsidRPr="00F221CF">
      <w:rPr>
        <w:i/>
        <w:sz w:val="18"/>
        <w:szCs w:val="18"/>
      </w:rPr>
      <w:t>Corporate Finance 8</w:t>
    </w:r>
    <w:r w:rsidRPr="00F221CF">
      <w:rPr>
        <w:i/>
        <w:sz w:val="18"/>
        <w:szCs w:val="18"/>
        <w:vertAlign w:val="superscript"/>
      </w:rPr>
      <w:t>th</w:t>
    </w:r>
    <w:r w:rsidRPr="00F221CF">
      <w:rPr>
        <w:i/>
        <w:sz w:val="18"/>
        <w:szCs w:val="18"/>
      </w:rPr>
      <w:t xml:space="preserve"> Canadian Edition</w:t>
    </w:r>
    <w:r w:rsidRPr="00F221CF">
      <w:rPr>
        <w:sz w:val="18"/>
        <w:szCs w:val="18"/>
      </w:rPr>
      <w:t xml:space="preserve"> Solutions Manual</w:t>
    </w:r>
  </w:p>
  <w:p w14:paraId="30C867B2" w14:textId="77777777" w:rsidR="00FC04CD" w:rsidRPr="00F221CF" w:rsidRDefault="00FC04CD" w:rsidP="00002ABD">
    <w:pPr>
      <w:pStyle w:val="Footer"/>
      <w:jc w:val="center"/>
      <w:rPr>
        <w:sz w:val="18"/>
        <w:szCs w:val="18"/>
      </w:rPr>
    </w:pPr>
    <w:r w:rsidRPr="00F221CF">
      <w:rPr>
        <w:sz w:val="18"/>
        <w:szCs w:val="18"/>
      </w:rPr>
      <w:t>© 2019 McGraw-Hill Education Ltd.</w:t>
    </w:r>
  </w:p>
  <w:p w14:paraId="133EEE0F" w14:textId="0AC34464" w:rsidR="00873EB1" w:rsidRPr="007E6213" w:rsidRDefault="007E6213" w:rsidP="00002ABD">
    <w:pPr>
      <w:pStyle w:val="Footer"/>
      <w:jc w:val="center"/>
      <w:rPr>
        <w:sz w:val="20"/>
        <w:szCs w:val="20"/>
      </w:rPr>
    </w:pPr>
    <w:r w:rsidRPr="007E6213">
      <w:rPr>
        <w:sz w:val="20"/>
        <w:szCs w:val="20"/>
      </w:rPr>
      <w:t>1</w:t>
    </w:r>
    <w:r w:rsidR="00873EB1" w:rsidRPr="007E6213">
      <w:rPr>
        <w:sz w:val="20"/>
        <w:szCs w:val="20"/>
      </w:rPr>
      <w:t>-</w:t>
    </w:r>
    <w:r w:rsidRPr="007E6213">
      <w:rPr>
        <w:rStyle w:val="PageNumber"/>
        <w:sz w:val="20"/>
        <w:szCs w:val="20"/>
      </w:rPr>
      <w:fldChar w:fldCharType="begin"/>
    </w:r>
    <w:r w:rsidRPr="007E6213">
      <w:rPr>
        <w:rStyle w:val="PageNumber"/>
        <w:sz w:val="20"/>
        <w:szCs w:val="20"/>
      </w:rPr>
      <w:instrText xml:space="preserve"> PAGE </w:instrText>
    </w:r>
    <w:r w:rsidRPr="007E6213">
      <w:rPr>
        <w:rStyle w:val="PageNumber"/>
        <w:sz w:val="20"/>
        <w:szCs w:val="20"/>
      </w:rPr>
      <w:fldChar w:fldCharType="separate"/>
    </w:r>
    <w:r w:rsidR="003923C3">
      <w:rPr>
        <w:rStyle w:val="PageNumber"/>
        <w:noProof/>
        <w:sz w:val="20"/>
        <w:szCs w:val="20"/>
      </w:rPr>
      <w:t>3</w:t>
    </w:r>
    <w:r w:rsidRPr="007E6213">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69B97" w14:textId="77777777" w:rsidR="00E5737B" w:rsidRDefault="00E5737B">
      <w:r>
        <w:separator/>
      </w:r>
    </w:p>
  </w:footnote>
  <w:footnote w:type="continuationSeparator" w:id="0">
    <w:p w14:paraId="5FD9621D" w14:textId="77777777" w:rsidR="00E5737B" w:rsidRDefault="00E573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87E5F"/>
    <w:multiLevelType w:val="singleLevel"/>
    <w:tmpl w:val="08CCDF9E"/>
    <w:lvl w:ilvl="0">
      <w:start w:val="2"/>
      <w:numFmt w:val="lowerLetter"/>
      <w:lvlText w:val="%1."/>
      <w:lvlJc w:val="left"/>
      <w:pPr>
        <w:tabs>
          <w:tab w:val="num" w:pos="1440"/>
        </w:tabs>
        <w:ind w:left="1440" w:hanging="900"/>
      </w:pPr>
      <w:rPr>
        <w:rFonts w:hint="default"/>
        <w:i/>
      </w:rPr>
    </w:lvl>
  </w:abstractNum>
  <w:abstractNum w:abstractNumId="1" w15:restartNumberingAfterBreak="0">
    <w:nsid w:val="1B820A92"/>
    <w:multiLevelType w:val="hybridMultilevel"/>
    <w:tmpl w:val="7D023E7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21330A"/>
    <w:multiLevelType w:val="hybridMultilevel"/>
    <w:tmpl w:val="9ACC22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2A83C5F"/>
    <w:multiLevelType w:val="multilevel"/>
    <w:tmpl w:val="D6D2C31C"/>
    <w:lvl w:ilvl="0">
      <w:start w:val="1"/>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5E8448D7"/>
    <w:multiLevelType w:val="hybridMultilevel"/>
    <w:tmpl w:val="570CD4C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FD53365"/>
    <w:multiLevelType w:val="multilevel"/>
    <w:tmpl w:val="E236F1EA"/>
    <w:lvl w:ilvl="0">
      <w:start w:val="1"/>
      <w:numFmt w:val="decimal"/>
      <w:lvlText w:val="%1"/>
      <w:lvlJc w:val="left"/>
      <w:pPr>
        <w:tabs>
          <w:tab w:val="num" w:pos="540"/>
        </w:tabs>
        <w:ind w:left="540" w:hanging="540"/>
      </w:pPr>
      <w:rPr>
        <w:rFonts w:hint="default"/>
      </w:rPr>
    </w:lvl>
    <w:lvl w:ilvl="1">
      <w:start w:val="1"/>
      <w:numFmt w:val="decimal"/>
      <w:lvlText w:val="%1.1"/>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6397736D"/>
    <w:multiLevelType w:val="hybridMultilevel"/>
    <w:tmpl w:val="EAFAF7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6E811640"/>
    <w:multiLevelType w:val="multilevel"/>
    <w:tmpl w:val="8110E59A"/>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5"/>
  </w:num>
  <w:num w:numId="2">
    <w:abstractNumId w:val="0"/>
  </w:num>
  <w:num w:numId="3">
    <w:abstractNumId w:val="6"/>
  </w:num>
  <w:num w:numId="4">
    <w:abstractNumId w:val="1"/>
  </w:num>
  <w:num w:numId="5">
    <w:abstractNumId w:val="4"/>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4F"/>
    <w:rsid w:val="00002ABD"/>
    <w:rsid w:val="00012AD0"/>
    <w:rsid w:val="00025A55"/>
    <w:rsid w:val="00054899"/>
    <w:rsid w:val="000757C1"/>
    <w:rsid w:val="000C2D1F"/>
    <w:rsid w:val="000F6536"/>
    <w:rsid w:val="000F7E0F"/>
    <w:rsid w:val="001022E8"/>
    <w:rsid w:val="00103555"/>
    <w:rsid w:val="00142AA7"/>
    <w:rsid w:val="001814CA"/>
    <w:rsid w:val="001902C3"/>
    <w:rsid w:val="001A0C26"/>
    <w:rsid w:val="001C67CC"/>
    <w:rsid w:val="001F691B"/>
    <w:rsid w:val="00253F63"/>
    <w:rsid w:val="002664A4"/>
    <w:rsid w:val="00275487"/>
    <w:rsid w:val="00314119"/>
    <w:rsid w:val="0032704F"/>
    <w:rsid w:val="003312FC"/>
    <w:rsid w:val="00340869"/>
    <w:rsid w:val="003454BA"/>
    <w:rsid w:val="00345F58"/>
    <w:rsid w:val="00390E4B"/>
    <w:rsid w:val="003923C3"/>
    <w:rsid w:val="003B03FE"/>
    <w:rsid w:val="003B1919"/>
    <w:rsid w:val="003B1B84"/>
    <w:rsid w:val="00483B33"/>
    <w:rsid w:val="004A6187"/>
    <w:rsid w:val="004B5D27"/>
    <w:rsid w:val="005A2F07"/>
    <w:rsid w:val="005C40BB"/>
    <w:rsid w:val="006473C0"/>
    <w:rsid w:val="006801D1"/>
    <w:rsid w:val="006B1927"/>
    <w:rsid w:val="006F328C"/>
    <w:rsid w:val="0071620E"/>
    <w:rsid w:val="00720B85"/>
    <w:rsid w:val="00726B25"/>
    <w:rsid w:val="00753A83"/>
    <w:rsid w:val="007C2C26"/>
    <w:rsid w:val="007D6A52"/>
    <w:rsid w:val="007E6213"/>
    <w:rsid w:val="007F5FD7"/>
    <w:rsid w:val="007F62B2"/>
    <w:rsid w:val="007F639E"/>
    <w:rsid w:val="00822788"/>
    <w:rsid w:val="00825947"/>
    <w:rsid w:val="00850996"/>
    <w:rsid w:val="00873EB1"/>
    <w:rsid w:val="008F2938"/>
    <w:rsid w:val="00911F8C"/>
    <w:rsid w:val="009205FA"/>
    <w:rsid w:val="00971E09"/>
    <w:rsid w:val="00985A00"/>
    <w:rsid w:val="009A6BC4"/>
    <w:rsid w:val="009E3F7B"/>
    <w:rsid w:val="009F5915"/>
    <w:rsid w:val="009F7B66"/>
    <w:rsid w:val="00A0560B"/>
    <w:rsid w:val="00A10461"/>
    <w:rsid w:val="00A10B85"/>
    <w:rsid w:val="00A22C90"/>
    <w:rsid w:val="00A328F4"/>
    <w:rsid w:val="00A52D80"/>
    <w:rsid w:val="00A53513"/>
    <w:rsid w:val="00A64C54"/>
    <w:rsid w:val="00A94F3D"/>
    <w:rsid w:val="00AC0731"/>
    <w:rsid w:val="00AD3C0C"/>
    <w:rsid w:val="00AF33AF"/>
    <w:rsid w:val="00B03001"/>
    <w:rsid w:val="00B04D44"/>
    <w:rsid w:val="00B72F63"/>
    <w:rsid w:val="00B85AAF"/>
    <w:rsid w:val="00B9218C"/>
    <w:rsid w:val="00B92E11"/>
    <w:rsid w:val="00BB5703"/>
    <w:rsid w:val="00BE7BA3"/>
    <w:rsid w:val="00BF0EBD"/>
    <w:rsid w:val="00BF37A6"/>
    <w:rsid w:val="00C01ED8"/>
    <w:rsid w:val="00C0435B"/>
    <w:rsid w:val="00C16CF9"/>
    <w:rsid w:val="00C16D89"/>
    <w:rsid w:val="00C17D31"/>
    <w:rsid w:val="00C354FE"/>
    <w:rsid w:val="00C55BA2"/>
    <w:rsid w:val="00C70F95"/>
    <w:rsid w:val="00C825C6"/>
    <w:rsid w:val="00CF17B6"/>
    <w:rsid w:val="00D32C63"/>
    <w:rsid w:val="00D33E2F"/>
    <w:rsid w:val="00D62720"/>
    <w:rsid w:val="00D67CCD"/>
    <w:rsid w:val="00D91E78"/>
    <w:rsid w:val="00DB4837"/>
    <w:rsid w:val="00DE33E4"/>
    <w:rsid w:val="00E07C3E"/>
    <w:rsid w:val="00E5737B"/>
    <w:rsid w:val="00E9049F"/>
    <w:rsid w:val="00EB4FF5"/>
    <w:rsid w:val="00EC2251"/>
    <w:rsid w:val="00ED57D3"/>
    <w:rsid w:val="00EE721B"/>
    <w:rsid w:val="00F00D56"/>
    <w:rsid w:val="00F221CF"/>
    <w:rsid w:val="00F5191E"/>
    <w:rsid w:val="00F76638"/>
    <w:rsid w:val="00F931A3"/>
    <w:rsid w:val="00FA2328"/>
    <w:rsid w:val="00FB0D48"/>
    <w:rsid w:val="00FC04CD"/>
    <w:rsid w:val="00FD08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4097"/>
    <o:shapelayout v:ext="edit">
      <o:idmap v:ext="edit" data="1"/>
    </o:shapelayout>
  </w:shapeDefaults>
  <w:decimalSymbol w:val="."/>
  <w:listSeparator w:val=","/>
  <w14:docId w14:val="019E8CEA"/>
  <w15:chartTrackingRefBased/>
  <w15:docId w15:val="{0B2B96D6-E61A-43D4-8543-1168213D4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paragraph" w:styleId="Heading3">
    <w:name w:val="heading 3"/>
    <w:basedOn w:val="Normal"/>
    <w:next w:val="Normal"/>
    <w:qFormat/>
    <w:pPr>
      <w:keepNext/>
      <w:tabs>
        <w:tab w:val="left" w:pos="540"/>
      </w:tabs>
      <w:jc w:val="center"/>
      <w:outlineLvl w:val="2"/>
    </w:pPr>
    <w:rPr>
      <w:b/>
      <w:color w:val="000000"/>
      <w:sz w:val="22"/>
      <w:szCs w:val="20"/>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tabs>
        <w:tab w:val="left" w:pos="720"/>
        <w:tab w:val="left" w:pos="1440"/>
      </w:tabs>
    </w:pPr>
    <w:rPr>
      <w:color w:val="000000"/>
      <w:sz w:val="22"/>
      <w:szCs w:val="20"/>
      <w:lang w:val="en-CA"/>
    </w:rPr>
  </w:style>
  <w:style w:type="paragraph" w:customStyle="1" w:styleId="saay">
    <w:name w:val="saay"/>
    <w:basedOn w:val="Normal"/>
    <w:pPr>
      <w:tabs>
        <w:tab w:val="left" w:pos="440"/>
      </w:tabs>
      <w:ind w:left="440" w:hanging="440"/>
      <w:jc w:val="both"/>
    </w:pPr>
    <w:rPr>
      <w:rFonts w:ascii="Tms Rmn" w:hAnsi="Tms Rmn"/>
      <w:sz w:val="22"/>
      <w:szCs w:val="20"/>
    </w:rPr>
  </w:style>
  <w:style w:type="paragraph" w:customStyle="1" w:styleId="TableBody">
    <w:name w:val="Table Body"/>
    <w:pPr>
      <w:keepNext/>
    </w:pPr>
    <w:rPr>
      <w:sz w:val="22"/>
      <w:lang w:val="en-US" w:eastAsia="en-U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sid w:val="0032704F"/>
    <w:rPr>
      <w:rFonts w:ascii="Tahoma" w:hAnsi="Tahoma" w:cs="Tahoma"/>
      <w:sz w:val="16"/>
      <w:szCs w:val="16"/>
    </w:rPr>
  </w:style>
  <w:style w:type="character" w:styleId="CommentReference">
    <w:name w:val="annotation reference"/>
    <w:basedOn w:val="DefaultParagraphFont"/>
    <w:rsid w:val="00275487"/>
    <w:rPr>
      <w:sz w:val="16"/>
      <w:szCs w:val="16"/>
    </w:rPr>
  </w:style>
  <w:style w:type="paragraph" w:styleId="CommentText">
    <w:name w:val="annotation text"/>
    <w:basedOn w:val="Normal"/>
    <w:link w:val="CommentTextChar"/>
    <w:rsid w:val="00275487"/>
    <w:rPr>
      <w:sz w:val="20"/>
      <w:szCs w:val="20"/>
    </w:rPr>
  </w:style>
  <w:style w:type="character" w:customStyle="1" w:styleId="CommentTextChar">
    <w:name w:val="Comment Text Char"/>
    <w:basedOn w:val="DefaultParagraphFont"/>
    <w:link w:val="CommentText"/>
    <w:rsid w:val="00275487"/>
    <w:rPr>
      <w:lang w:val="en-US" w:eastAsia="en-US"/>
    </w:rPr>
  </w:style>
  <w:style w:type="paragraph" w:styleId="CommentSubject">
    <w:name w:val="annotation subject"/>
    <w:basedOn w:val="CommentText"/>
    <w:next w:val="CommentText"/>
    <w:link w:val="CommentSubjectChar"/>
    <w:rsid w:val="00275487"/>
    <w:rPr>
      <w:b/>
      <w:bCs/>
    </w:rPr>
  </w:style>
  <w:style w:type="character" w:customStyle="1" w:styleId="CommentSubjectChar">
    <w:name w:val="Comment Subject Char"/>
    <w:basedOn w:val="CommentTextChar"/>
    <w:link w:val="CommentSubject"/>
    <w:rsid w:val="00275487"/>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6426239">
      <w:bodyDiv w:val="1"/>
      <w:marLeft w:val="0"/>
      <w:marRight w:val="0"/>
      <w:marTop w:val="0"/>
      <w:marBottom w:val="0"/>
      <w:divBdr>
        <w:top w:val="none" w:sz="0" w:space="0" w:color="auto"/>
        <w:left w:val="none" w:sz="0" w:space="0" w:color="auto"/>
        <w:bottom w:val="none" w:sz="0" w:space="0" w:color="auto"/>
        <w:right w:val="none" w:sz="0" w:space="0" w:color="auto"/>
      </w:divBdr>
    </w:div>
    <w:div w:id="1148135549">
      <w:bodyDiv w:val="1"/>
      <w:marLeft w:val="0"/>
      <w:marRight w:val="0"/>
      <w:marTop w:val="0"/>
      <w:marBottom w:val="0"/>
      <w:divBdr>
        <w:top w:val="none" w:sz="0" w:space="0" w:color="auto"/>
        <w:left w:val="none" w:sz="0" w:space="0" w:color="auto"/>
        <w:bottom w:val="none" w:sz="0" w:space="0" w:color="auto"/>
        <w:right w:val="none" w:sz="0" w:space="0" w:color="auto"/>
      </w:divBdr>
    </w:div>
    <w:div w:id="1529173976">
      <w:bodyDiv w:val="1"/>
      <w:marLeft w:val="0"/>
      <w:marRight w:val="0"/>
      <w:marTop w:val="0"/>
      <w:marBottom w:val="0"/>
      <w:divBdr>
        <w:top w:val="none" w:sz="0" w:space="0" w:color="auto"/>
        <w:left w:val="none" w:sz="0" w:space="0" w:color="auto"/>
        <w:bottom w:val="none" w:sz="0" w:space="0" w:color="auto"/>
        <w:right w:val="none" w:sz="0" w:space="0" w:color="auto"/>
      </w:divBdr>
    </w:div>
    <w:div w:id="176823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A1D5ED3AB9EC4AA77B176C7C1E5AE9" ma:contentTypeVersion="8" ma:contentTypeDescription="Create a new document." ma:contentTypeScope="" ma:versionID="f9a7db1c64c9726abf94d362219af9c3">
  <xsd:schema xmlns:xsd="http://www.w3.org/2001/XMLSchema" xmlns:xs="http://www.w3.org/2001/XMLSchema" xmlns:p="http://schemas.microsoft.com/office/2006/metadata/properties" xmlns:ns2="947375f2-40d5-4250-810b-480d23de5b58" xmlns:ns3="ee825f47-1c19-4496-bc0c-a6f37ac8097e" targetNamespace="http://schemas.microsoft.com/office/2006/metadata/properties" ma:root="true" ma:fieldsID="a78099c453faabba44148fcb9cdcd560" ns2:_="" ns3:_="">
    <xsd:import namespace="947375f2-40d5-4250-810b-480d23de5b58"/>
    <xsd:import namespace="ee825f47-1c19-4496-bc0c-a6f37ac809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7375f2-40d5-4250-810b-480d23de5b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e825f47-1c19-4496-bc0c-a6f37ac8097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FB9ECD-9186-4D04-B2DB-8A5911387AFD}"/>
</file>

<file path=customXml/itemProps2.xml><?xml version="1.0" encoding="utf-8"?>
<ds:datastoreItem xmlns:ds="http://schemas.openxmlformats.org/officeDocument/2006/customXml" ds:itemID="{BACFFA94-4E20-4F26-A46C-2FA2D84E5D59}"/>
</file>

<file path=customXml/itemProps3.xml><?xml version="1.0" encoding="utf-8"?>
<ds:datastoreItem xmlns:ds="http://schemas.openxmlformats.org/officeDocument/2006/customXml" ds:itemID="{D7422087-87AC-4DFA-899B-D56E76C2B4AC}"/>
</file>

<file path=docProps/app.xml><?xml version="1.0" encoding="utf-8"?>
<Properties xmlns="http://schemas.openxmlformats.org/officeDocument/2006/extended-properties" xmlns:vt="http://schemas.openxmlformats.org/officeDocument/2006/docPropsVTypes">
  <Template>Normal.dotm</Template>
  <TotalTime>23</TotalTime>
  <Pages>3</Pages>
  <Words>849</Words>
  <Characters>4777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Chapter 1: Introduction to Corporate Finance</vt:lpstr>
    </vt:vector>
  </TitlesOfParts>
  <Company>McGraw-Hill Ryerson</Company>
  <LinksUpToDate>false</LinksUpToDate>
  <CharactersWithSpaces>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Introduction to Corporate Finance</dc:title>
  <dc:subject/>
  <dc:creator>Training1</dc:creator>
  <cp:keywords/>
  <cp:lastModifiedBy>Mavroudi, Tammy</cp:lastModifiedBy>
  <cp:revision>10</cp:revision>
  <dcterms:created xsi:type="dcterms:W3CDTF">2018-07-12T21:59:00Z</dcterms:created>
  <dcterms:modified xsi:type="dcterms:W3CDTF">2018-08-13T17:32:00Z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0x010100B9A1D5ED3AB9EC4AA77B176C7C1E5AE9</vt:lpwstr>
  </property>
</Properties>
</file>