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2E412" w14:textId="77777777" w:rsidR="00260360" w:rsidRPr="00912A85" w:rsidRDefault="00260360" w:rsidP="00912A85">
      <w:pPr>
        <w:spacing w:line="360" w:lineRule="auto"/>
        <w:rPr>
          <w:b/>
          <w:sz w:val="28"/>
          <w:szCs w:val="28"/>
        </w:rPr>
      </w:pPr>
      <w:r w:rsidRPr="00912A85">
        <w:rPr>
          <w:b/>
          <w:sz w:val="28"/>
          <w:szCs w:val="28"/>
        </w:rPr>
        <w:t>Chapter 1</w:t>
      </w:r>
    </w:p>
    <w:p w14:paraId="6D8446D3" w14:textId="77777777" w:rsidR="00260360" w:rsidRPr="00912A85" w:rsidRDefault="00260360" w:rsidP="00912A85">
      <w:pPr>
        <w:spacing w:line="360" w:lineRule="auto"/>
        <w:rPr>
          <w:b/>
          <w:color w:val="FF0000"/>
          <w:sz w:val="28"/>
          <w:szCs w:val="28"/>
          <w:u w:val="single"/>
        </w:rPr>
      </w:pPr>
      <w:r w:rsidRPr="00912A85">
        <w:rPr>
          <w:b/>
          <w:sz w:val="28"/>
          <w:szCs w:val="28"/>
        </w:rPr>
        <w:t>Legal Heritage and the Digital Age</w:t>
      </w:r>
    </w:p>
    <w:p w14:paraId="069E0704" w14:textId="77777777" w:rsidR="00260360" w:rsidRPr="00912A85" w:rsidRDefault="00260360" w:rsidP="00912A85">
      <w:pPr>
        <w:spacing w:line="360" w:lineRule="auto"/>
        <w:rPr>
          <w:b/>
        </w:rPr>
      </w:pPr>
    </w:p>
    <w:p w14:paraId="777FC964" w14:textId="77777777" w:rsidR="00402DA6" w:rsidRPr="00283334" w:rsidRDefault="00283334" w:rsidP="00912A85">
      <w:pPr>
        <w:spacing w:line="360" w:lineRule="auto"/>
        <w:rPr>
          <w:b/>
          <w:sz w:val="22"/>
          <w:szCs w:val="22"/>
        </w:rPr>
      </w:pPr>
      <w:r>
        <w:rPr>
          <w:b/>
          <w:sz w:val="22"/>
          <w:szCs w:val="22"/>
        </w:rPr>
        <w:t xml:space="preserve">VI. </w:t>
      </w:r>
      <w:r w:rsidR="00AF666E" w:rsidRPr="00283334">
        <w:rPr>
          <w:b/>
          <w:sz w:val="22"/>
          <w:szCs w:val="22"/>
        </w:rPr>
        <w:t>Answer</w:t>
      </w:r>
      <w:r w:rsidR="00260360" w:rsidRPr="00283334">
        <w:rPr>
          <w:b/>
          <w:sz w:val="22"/>
          <w:szCs w:val="22"/>
        </w:rPr>
        <w:t xml:space="preserve"> </w:t>
      </w:r>
      <w:r w:rsidR="00F573E0" w:rsidRPr="00283334">
        <w:rPr>
          <w:b/>
          <w:sz w:val="22"/>
          <w:szCs w:val="22"/>
        </w:rPr>
        <w:t>to Critical Legal Thinking Case</w:t>
      </w:r>
    </w:p>
    <w:p w14:paraId="7C5DF038" w14:textId="77777777" w:rsidR="00260360" w:rsidRPr="00283334" w:rsidRDefault="00260360" w:rsidP="00283334">
      <w:pPr>
        <w:rPr>
          <w:b/>
          <w:sz w:val="22"/>
          <w:szCs w:val="22"/>
        </w:rPr>
      </w:pPr>
      <w:r w:rsidRPr="00283334">
        <w:rPr>
          <w:b/>
          <w:sz w:val="22"/>
          <w:szCs w:val="22"/>
        </w:rPr>
        <w:t>1.1</w:t>
      </w:r>
      <w:r w:rsidR="000A7553" w:rsidRPr="00283334">
        <w:rPr>
          <w:rStyle w:val="x"/>
          <w:b/>
          <w:bCs/>
          <w:sz w:val="22"/>
          <w:szCs w:val="22"/>
        </w:rPr>
        <w:t xml:space="preserve">   </w:t>
      </w:r>
      <w:r w:rsidRPr="00283334">
        <w:rPr>
          <w:b/>
          <w:sz w:val="22"/>
          <w:szCs w:val="22"/>
        </w:rPr>
        <w:t>Fairness of the Law</w:t>
      </w:r>
    </w:p>
    <w:p w14:paraId="3AD58DF4" w14:textId="77777777" w:rsidR="00260360" w:rsidRPr="00283334" w:rsidRDefault="00260360" w:rsidP="00283334">
      <w:pPr>
        <w:tabs>
          <w:tab w:val="left" w:pos="360"/>
          <w:tab w:val="left" w:pos="720"/>
          <w:tab w:val="left" w:pos="1080"/>
          <w:tab w:val="left" w:pos="1440"/>
          <w:tab w:val="left" w:pos="1800"/>
          <w:tab w:val="left" w:pos="2160"/>
          <w:tab w:val="left" w:pos="2520"/>
          <w:tab w:val="left" w:pos="2880"/>
        </w:tabs>
        <w:rPr>
          <w:sz w:val="22"/>
          <w:szCs w:val="22"/>
        </w:rPr>
      </w:pPr>
      <w:r w:rsidRPr="00283334">
        <w:rPr>
          <w:sz w:val="22"/>
          <w:szCs w:val="22"/>
        </w:rPr>
        <w:t xml:space="preserve">Many students will react that the statute is </w:t>
      </w:r>
      <w:proofErr w:type="gramStart"/>
      <w:r w:rsidRPr="00283334">
        <w:rPr>
          <w:sz w:val="22"/>
          <w:szCs w:val="22"/>
        </w:rPr>
        <w:t>unfair</w:t>
      </w:r>
      <w:proofErr w:type="gramEnd"/>
      <w:r w:rsidRPr="00283334">
        <w:rPr>
          <w:sz w:val="22"/>
          <w:szCs w:val="22"/>
        </w:rPr>
        <w:t xml:space="preserve"> as it does not afford women equal status in the workplace. In light of today’s standards, that position is well founded. However, it is a useful exercise to consider arguments for the opposite position in the context of the time period. In enacting such a statute, the legislature presumably entertained the view that women had special needs, were subject to certain weaknesses, and therefore the demands made on them had to be accommodated in the workplace. That these premises, i.e., special needs and presumed weaknesses, might be false does not necessarily preclude one from acting morally. Moralists might label this ignorance as excusable in that it is “invincible,” i.e., an ignorance that cannot be destroyed or offers no moral reason for doing so. Of course, modern experience and knowledge require that we question these premises. It almost certainly would not be lawful today. Not only have the items relevant to the test of equal protection broadened under present constitutional interpretations, but also Title VII of the Civil Rights Act of 1964 prohibits any discrimination on the basis of sex in the “terms, conditions and benefits of employment.” </w:t>
      </w:r>
      <w:r w:rsidRPr="00283334">
        <w:rPr>
          <w:i/>
          <w:sz w:val="22"/>
          <w:szCs w:val="22"/>
        </w:rPr>
        <w:t xml:space="preserve">W. C. Ritchie &amp; Co. v. </w:t>
      </w:r>
      <w:proofErr w:type="spellStart"/>
      <w:r w:rsidRPr="00283334">
        <w:rPr>
          <w:i/>
          <w:sz w:val="22"/>
          <w:szCs w:val="22"/>
        </w:rPr>
        <w:t>Wayman</w:t>
      </w:r>
      <w:proofErr w:type="spellEnd"/>
      <w:r w:rsidRPr="00283334">
        <w:rPr>
          <w:i/>
          <w:sz w:val="22"/>
          <w:szCs w:val="22"/>
        </w:rPr>
        <w:t>, Attorney for Cook Country, Illinois</w:t>
      </w:r>
      <w:r w:rsidRPr="00283334">
        <w:rPr>
          <w:sz w:val="22"/>
          <w:szCs w:val="22"/>
        </w:rPr>
        <w:t>,</w:t>
      </w:r>
      <w:r w:rsidR="00E32FCD" w:rsidRPr="00283334">
        <w:rPr>
          <w:sz w:val="22"/>
          <w:szCs w:val="22"/>
        </w:rPr>
        <w:t xml:space="preserve"> 244 Ill. 509, 91 N.E. 695, </w:t>
      </w:r>
      <w:r w:rsidRPr="00283334">
        <w:rPr>
          <w:sz w:val="22"/>
          <w:szCs w:val="22"/>
        </w:rPr>
        <w:t>1910 Ill. Lexis 1958 (Supreme Court of Illinois)</w:t>
      </w:r>
    </w:p>
    <w:p w14:paraId="2DB39BFD" w14:textId="77777777" w:rsidR="00260360" w:rsidRDefault="00260360" w:rsidP="00283334">
      <w:pPr>
        <w:rPr>
          <w:sz w:val="22"/>
          <w:szCs w:val="22"/>
        </w:rPr>
      </w:pPr>
    </w:p>
    <w:p w14:paraId="5E740449" w14:textId="77777777" w:rsidR="00283334" w:rsidRPr="00283334" w:rsidRDefault="00283334" w:rsidP="00283334">
      <w:pPr>
        <w:rPr>
          <w:sz w:val="22"/>
          <w:szCs w:val="22"/>
        </w:rPr>
      </w:pPr>
    </w:p>
    <w:p w14:paraId="23D55A62" w14:textId="77777777" w:rsidR="00260360" w:rsidRPr="00283334" w:rsidRDefault="00283334" w:rsidP="00283334">
      <w:pPr>
        <w:rPr>
          <w:b/>
          <w:sz w:val="22"/>
          <w:szCs w:val="22"/>
        </w:rPr>
      </w:pPr>
      <w:r>
        <w:rPr>
          <w:b/>
          <w:sz w:val="22"/>
          <w:szCs w:val="22"/>
        </w:rPr>
        <w:t xml:space="preserve">VII. </w:t>
      </w:r>
      <w:r w:rsidR="00AF666E" w:rsidRPr="00283334">
        <w:rPr>
          <w:b/>
          <w:sz w:val="22"/>
          <w:szCs w:val="22"/>
        </w:rPr>
        <w:t>Answers</w:t>
      </w:r>
      <w:r w:rsidR="00260360" w:rsidRPr="00283334">
        <w:rPr>
          <w:b/>
          <w:sz w:val="22"/>
          <w:szCs w:val="22"/>
        </w:rPr>
        <w:t xml:space="preserve"> to Ethics Cases</w:t>
      </w:r>
    </w:p>
    <w:p w14:paraId="4AF930BA" w14:textId="77777777" w:rsidR="00402DA6" w:rsidRPr="00283334" w:rsidRDefault="00402DA6" w:rsidP="00283334">
      <w:pPr>
        <w:rPr>
          <w:b/>
          <w:bCs/>
          <w:sz w:val="22"/>
          <w:szCs w:val="22"/>
        </w:rPr>
      </w:pPr>
    </w:p>
    <w:p w14:paraId="54CF2237" w14:textId="77777777" w:rsidR="00260360" w:rsidRPr="00283334" w:rsidRDefault="00260360" w:rsidP="00283334">
      <w:pPr>
        <w:rPr>
          <w:b/>
          <w:bCs/>
          <w:sz w:val="22"/>
          <w:szCs w:val="22"/>
        </w:rPr>
      </w:pPr>
      <w:r w:rsidRPr="00283334">
        <w:rPr>
          <w:b/>
          <w:bCs/>
          <w:sz w:val="22"/>
          <w:szCs w:val="22"/>
        </w:rPr>
        <w:t>1.2</w:t>
      </w:r>
      <w:r w:rsidR="000A7553" w:rsidRPr="00283334">
        <w:rPr>
          <w:sz w:val="22"/>
          <w:szCs w:val="22"/>
        </w:rPr>
        <w:t xml:space="preserve">   </w:t>
      </w:r>
      <w:r w:rsidRPr="00283334">
        <w:rPr>
          <w:b/>
          <w:bCs/>
          <w:sz w:val="22"/>
          <w:szCs w:val="22"/>
        </w:rPr>
        <w:t>Ethics Case</w:t>
      </w:r>
    </w:p>
    <w:p w14:paraId="75FDDFCF" w14:textId="0239D9AB" w:rsidR="00260360" w:rsidRPr="00006280" w:rsidRDefault="00260360" w:rsidP="00283334">
      <w:pPr>
        <w:tabs>
          <w:tab w:val="left" w:pos="360"/>
          <w:tab w:val="left" w:pos="720"/>
          <w:tab w:val="left" w:pos="1080"/>
          <w:tab w:val="left" w:pos="1440"/>
          <w:tab w:val="left" w:pos="1800"/>
          <w:tab w:val="left" w:pos="2160"/>
          <w:tab w:val="left" w:pos="2520"/>
          <w:tab w:val="left" w:pos="2880"/>
        </w:tabs>
        <w:autoSpaceDE w:val="0"/>
        <w:autoSpaceDN w:val="0"/>
        <w:adjustRightInd w:val="0"/>
        <w:rPr>
          <w:rFonts w:eastAsia="Times New Roman"/>
          <w:sz w:val="22"/>
          <w:szCs w:val="22"/>
        </w:rPr>
      </w:pPr>
      <w:r w:rsidRPr="00283334">
        <w:rPr>
          <w:rFonts w:eastAsia="Times New Roman"/>
          <w:sz w:val="22"/>
          <w:szCs w:val="22"/>
        </w:rPr>
        <w:t xml:space="preserve">Yes, the hunting, fishing, and gathering rights granted to the Mille </w:t>
      </w:r>
      <w:proofErr w:type="spellStart"/>
      <w:r w:rsidRPr="00283334">
        <w:rPr>
          <w:rFonts w:eastAsia="Times New Roman"/>
          <w:sz w:val="22"/>
          <w:szCs w:val="22"/>
        </w:rPr>
        <w:t>Lacs</w:t>
      </w:r>
      <w:proofErr w:type="spellEnd"/>
      <w:r w:rsidRPr="00283334">
        <w:rPr>
          <w:rFonts w:eastAsia="Times New Roman"/>
          <w:sz w:val="22"/>
          <w:szCs w:val="22"/>
        </w:rPr>
        <w:t xml:space="preserve"> Band of the </w:t>
      </w:r>
      <w:proofErr w:type="spellStart"/>
      <w:r w:rsidRPr="00283334">
        <w:rPr>
          <w:rFonts w:eastAsia="Times New Roman"/>
          <w:sz w:val="22"/>
          <w:szCs w:val="22"/>
        </w:rPr>
        <w:t>Ojibwe</w:t>
      </w:r>
      <w:proofErr w:type="spellEnd"/>
      <w:r w:rsidRPr="00283334">
        <w:rPr>
          <w:rFonts w:eastAsia="Times New Roman"/>
          <w:sz w:val="22"/>
          <w:szCs w:val="22"/>
        </w:rPr>
        <w:t xml:space="preserve"> Indians by the federal government in the 1837 treaty are valid and enforceable. The U.S. Supreme Court held that these rights were not extinguished when the state of Minnesota was admitted as a state in 1858. The state of Minnesota argued that the </w:t>
      </w:r>
      <w:proofErr w:type="spellStart"/>
      <w:r w:rsidRPr="00283334">
        <w:rPr>
          <w:rFonts w:eastAsia="Times New Roman"/>
          <w:sz w:val="22"/>
          <w:szCs w:val="22"/>
        </w:rPr>
        <w:t>Ojibwe’s</w:t>
      </w:r>
      <w:proofErr w:type="spellEnd"/>
      <w:r w:rsidRPr="00283334">
        <w:rPr>
          <w:rFonts w:eastAsia="Times New Roman"/>
          <w:sz w:val="22"/>
          <w:szCs w:val="22"/>
        </w:rPr>
        <w:t xml:space="preserve"> rights under the treaty were extinguished when Minnesota was admitted to the Union. There is no clear evidence of federal congressional intent to extinguish the treaty rights of the </w:t>
      </w:r>
      <w:proofErr w:type="spellStart"/>
      <w:r w:rsidRPr="00283334">
        <w:rPr>
          <w:rFonts w:eastAsia="Times New Roman"/>
          <w:sz w:val="22"/>
          <w:szCs w:val="22"/>
        </w:rPr>
        <w:t>Ojibwe</w:t>
      </w:r>
      <w:proofErr w:type="spellEnd"/>
      <w:r w:rsidRPr="00283334">
        <w:rPr>
          <w:rFonts w:eastAsia="Times New Roman"/>
          <w:sz w:val="22"/>
          <w:szCs w:val="22"/>
        </w:rPr>
        <w:t xml:space="preserve"> Indians when Minnesota was admitted as a state in 1858. The language admitting Minnesota as a state made no mention of Indian treaty rights. It was illegal for the state of Minnesota to try to extinguish clearly delineated legal rights granted to the </w:t>
      </w:r>
      <w:proofErr w:type="spellStart"/>
      <w:r w:rsidRPr="00283334">
        <w:rPr>
          <w:rFonts w:eastAsia="Times New Roman"/>
          <w:sz w:val="22"/>
          <w:szCs w:val="22"/>
        </w:rPr>
        <w:t>Ojibwe</w:t>
      </w:r>
      <w:proofErr w:type="spellEnd"/>
      <w:r w:rsidRPr="00283334">
        <w:rPr>
          <w:rFonts w:eastAsia="Times New Roman"/>
          <w:sz w:val="22"/>
          <w:szCs w:val="22"/>
        </w:rPr>
        <w:t xml:space="preserve"> Native Americans more than 150 years before. The hunting, fishing, and gathering rights guaranteed to the </w:t>
      </w:r>
      <w:proofErr w:type="spellStart"/>
      <w:r w:rsidRPr="00283334">
        <w:rPr>
          <w:rFonts w:eastAsia="Times New Roman"/>
          <w:sz w:val="22"/>
          <w:szCs w:val="22"/>
        </w:rPr>
        <w:t>Ojibwe</w:t>
      </w:r>
      <w:proofErr w:type="spellEnd"/>
      <w:r w:rsidRPr="00283334">
        <w:rPr>
          <w:rFonts w:eastAsia="Times New Roman"/>
          <w:sz w:val="22"/>
          <w:szCs w:val="22"/>
        </w:rPr>
        <w:t xml:space="preserve"> Indians in the 1837 treaty are still valid and enforceable.</w:t>
      </w:r>
      <w:r w:rsidR="00006280">
        <w:rPr>
          <w:rFonts w:eastAsia="Times New Roman"/>
          <w:sz w:val="22"/>
          <w:szCs w:val="22"/>
        </w:rPr>
        <w:t xml:space="preserve"> </w:t>
      </w:r>
      <w:r w:rsidRPr="00283334">
        <w:rPr>
          <w:rFonts w:eastAsia="Times New Roman"/>
          <w:sz w:val="22"/>
          <w:szCs w:val="22"/>
        </w:rPr>
        <w:t xml:space="preserve">The state of Minnesota did not </w:t>
      </w:r>
      <w:r w:rsidR="00006280">
        <w:rPr>
          <w:rFonts w:eastAsia="Times New Roman"/>
          <w:sz w:val="22"/>
          <w:szCs w:val="22"/>
        </w:rPr>
        <w:t xml:space="preserve">act </w:t>
      </w:r>
      <w:r w:rsidRPr="00283334">
        <w:rPr>
          <w:rFonts w:eastAsia="Times New Roman"/>
          <w:sz w:val="22"/>
          <w:szCs w:val="22"/>
        </w:rPr>
        <w:t xml:space="preserve">ethically when it tried to abolish the hunting, fishing, and gathering rights guaranteed to the </w:t>
      </w:r>
      <w:proofErr w:type="spellStart"/>
      <w:r w:rsidRPr="00283334">
        <w:rPr>
          <w:rFonts w:eastAsia="Times New Roman"/>
          <w:sz w:val="22"/>
          <w:szCs w:val="22"/>
        </w:rPr>
        <w:t>Ojibwe</w:t>
      </w:r>
      <w:proofErr w:type="spellEnd"/>
      <w:r w:rsidRPr="00283334">
        <w:rPr>
          <w:rFonts w:eastAsia="Times New Roman"/>
          <w:sz w:val="22"/>
          <w:szCs w:val="22"/>
        </w:rPr>
        <w:t xml:space="preserve"> Indians by treaty. The </w:t>
      </w:r>
      <w:proofErr w:type="spellStart"/>
      <w:r w:rsidRPr="00283334">
        <w:rPr>
          <w:rFonts w:eastAsia="Times New Roman"/>
          <w:sz w:val="22"/>
          <w:szCs w:val="22"/>
        </w:rPr>
        <w:t>Ojibwe</w:t>
      </w:r>
      <w:proofErr w:type="spellEnd"/>
      <w:r w:rsidRPr="00283334">
        <w:rPr>
          <w:rFonts w:eastAsia="Times New Roman"/>
          <w:sz w:val="22"/>
          <w:szCs w:val="22"/>
        </w:rPr>
        <w:t xml:space="preserve"> relied on the promises of the treaty, which must be kept by the government. </w:t>
      </w:r>
      <w:r w:rsidRPr="00283334">
        <w:rPr>
          <w:rFonts w:eastAsia="Times New Roman"/>
          <w:i/>
          <w:sz w:val="22"/>
          <w:szCs w:val="22"/>
        </w:rPr>
        <w:t xml:space="preserve">Minnesota v. Mille </w:t>
      </w:r>
      <w:proofErr w:type="spellStart"/>
      <w:r w:rsidRPr="00283334">
        <w:rPr>
          <w:rFonts w:eastAsia="Times New Roman"/>
          <w:i/>
          <w:sz w:val="22"/>
          <w:szCs w:val="22"/>
        </w:rPr>
        <w:t>Lacs</w:t>
      </w:r>
      <w:proofErr w:type="spellEnd"/>
      <w:r w:rsidRPr="00283334">
        <w:rPr>
          <w:rFonts w:eastAsia="Times New Roman"/>
          <w:i/>
          <w:sz w:val="22"/>
          <w:szCs w:val="22"/>
        </w:rPr>
        <w:t xml:space="preserve"> Band of Chippewa Indians</w:t>
      </w:r>
      <w:r w:rsidRPr="00283334">
        <w:rPr>
          <w:rFonts w:eastAsia="Times New Roman"/>
          <w:sz w:val="22"/>
          <w:szCs w:val="22"/>
        </w:rPr>
        <w:t>, 526 U.S. 172, 1</w:t>
      </w:r>
      <w:r w:rsidR="00937CAC" w:rsidRPr="00283334">
        <w:rPr>
          <w:rFonts w:eastAsia="Times New Roman"/>
          <w:sz w:val="22"/>
          <w:szCs w:val="22"/>
        </w:rPr>
        <w:t xml:space="preserve">19 </w:t>
      </w:r>
      <w:proofErr w:type="spellStart"/>
      <w:r w:rsidR="00937CAC" w:rsidRPr="00283334">
        <w:rPr>
          <w:rFonts w:eastAsia="Times New Roman"/>
          <w:sz w:val="22"/>
          <w:szCs w:val="22"/>
        </w:rPr>
        <w:t>S.Ct</w:t>
      </w:r>
      <w:proofErr w:type="spellEnd"/>
      <w:r w:rsidR="00937CAC" w:rsidRPr="00283334">
        <w:rPr>
          <w:rFonts w:eastAsia="Times New Roman"/>
          <w:sz w:val="22"/>
          <w:szCs w:val="22"/>
        </w:rPr>
        <w:t xml:space="preserve">. 1187, </w:t>
      </w:r>
      <w:r w:rsidRPr="00283334">
        <w:rPr>
          <w:rFonts w:eastAsia="Times New Roman"/>
          <w:sz w:val="22"/>
          <w:szCs w:val="22"/>
        </w:rPr>
        <w:t>1999 U.S. Lexis 2190 (Supreme Court of the United States)</w:t>
      </w:r>
    </w:p>
    <w:p w14:paraId="277FFF30" w14:textId="77777777" w:rsidR="00402DA6" w:rsidRPr="00283334" w:rsidRDefault="00402DA6" w:rsidP="00283334">
      <w:pPr>
        <w:rPr>
          <w:b/>
          <w:bCs/>
          <w:sz w:val="22"/>
          <w:szCs w:val="22"/>
        </w:rPr>
      </w:pPr>
    </w:p>
    <w:p w14:paraId="746D98FE" w14:textId="77777777" w:rsidR="00260360" w:rsidRPr="00283334" w:rsidRDefault="00260360" w:rsidP="00283334">
      <w:pPr>
        <w:rPr>
          <w:b/>
          <w:bCs/>
          <w:sz w:val="22"/>
          <w:szCs w:val="22"/>
        </w:rPr>
      </w:pPr>
      <w:r w:rsidRPr="00283334">
        <w:rPr>
          <w:b/>
          <w:bCs/>
          <w:sz w:val="22"/>
          <w:szCs w:val="22"/>
        </w:rPr>
        <w:t>1.3</w:t>
      </w:r>
      <w:r w:rsidR="000A7553" w:rsidRPr="00283334">
        <w:rPr>
          <w:sz w:val="22"/>
          <w:szCs w:val="22"/>
        </w:rPr>
        <w:t xml:space="preserve">   </w:t>
      </w:r>
      <w:r w:rsidRPr="00283334">
        <w:rPr>
          <w:b/>
          <w:bCs/>
          <w:sz w:val="22"/>
          <w:szCs w:val="22"/>
        </w:rPr>
        <w:t>Ethics Case</w:t>
      </w:r>
    </w:p>
    <w:p w14:paraId="1C5AE125" w14:textId="51CEDD24" w:rsidR="00260360" w:rsidRPr="00006280" w:rsidRDefault="00260360" w:rsidP="00006280">
      <w:pPr>
        <w:tabs>
          <w:tab w:val="left" w:pos="360"/>
          <w:tab w:val="left" w:pos="720"/>
          <w:tab w:val="left" w:pos="1080"/>
          <w:tab w:val="left" w:pos="1440"/>
          <w:tab w:val="left" w:pos="1800"/>
          <w:tab w:val="left" w:pos="2160"/>
          <w:tab w:val="left" w:pos="2520"/>
          <w:tab w:val="left" w:pos="2880"/>
        </w:tabs>
        <w:autoSpaceDE w:val="0"/>
        <w:autoSpaceDN w:val="0"/>
        <w:adjustRightInd w:val="0"/>
        <w:rPr>
          <w:rFonts w:eastAsia="Times New Roman"/>
          <w:sz w:val="22"/>
          <w:szCs w:val="22"/>
        </w:rPr>
      </w:pPr>
      <w:bookmarkStart w:id="0" w:name="_GoBack"/>
      <w:r w:rsidRPr="00283334">
        <w:rPr>
          <w:sz w:val="22"/>
          <w:szCs w:val="22"/>
        </w:rPr>
        <w:t xml:space="preserve">The better case is made by the dissent. The law has not been progressive in this instance. It is likely that legislators entertained an unconscious premise that women should not be required to fight a war. This speculation might be supported by the fact that the majority of the Supreme Court summoned a technical legal point to justify their ruling. The Court held that Congress was the proper party to articulate the public policy that women should not fight at the front, thereby removing themselves from any further consideration of the substantive issue, i.e., whether equality was being served as a matter of fairness. </w:t>
      </w:r>
      <w:proofErr w:type="spellStart"/>
      <w:r w:rsidRPr="00283334">
        <w:rPr>
          <w:i/>
          <w:iCs/>
          <w:sz w:val="22"/>
          <w:szCs w:val="22"/>
        </w:rPr>
        <w:t>Rostker</w:t>
      </w:r>
      <w:proofErr w:type="spellEnd"/>
      <w:r w:rsidRPr="00283334">
        <w:rPr>
          <w:i/>
          <w:iCs/>
          <w:sz w:val="22"/>
          <w:szCs w:val="22"/>
        </w:rPr>
        <w:t>, Director of the Selective Service v. Goldberg</w:t>
      </w:r>
      <w:r w:rsidRPr="00283334">
        <w:rPr>
          <w:sz w:val="22"/>
          <w:szCs w:val="22"/>
        </w:rPr>
        <w:t xml:space="preserve">, 453 U.S. 57, 101 </w:t>
      </w:r>
      <w:proofErr w:type="spellStart"/>
      <w:r w:rsidRPr="00283334">
        <w:rPr>
          <w:sz w:val="22"/>
          <w:szCs w:val="22"/>
        </w:rPr>
        <w:t>S</w:t>
      </w:r>
      <w:r w:rsidR="00937CAC" w:rsidRPr="00283334">
        <w:rPr>
          <w:sz w:val="22"/>
          <w:szCs w:val="22"/>
        </w:rPr>
        <w:t>.Ct</w:t>
      </w:r>
      <w:proofErr w:type="spellEnd"/>
      <w:r w:rsidR="00937CAC" w:rsidRPr="00283334">
        <w:rPr>
          <w:sz w:val="22"/>
          <w:szCs w:val="22"/>
        </w:rPr>
        <w:t xml:space="preserve">. 2646, </w:t>
      </w:r>
      <w:r w:rsidR="00630A31" w:rsidRPr="00283334">
        <w:rPr>
          <w:sz w:val="22"/>
          <w:szCs w:val="22"/>
        </w:rPr>
        <w:t>1981 U.S. Lexis 126</w:t>
      </w:r>
      <w:r w:rsidR="00F573E0" w:rsidRPr="00283334">
        <w:rPr>
          <w:sz w:val="22"/>
          <w:szCs w:val="22"/>
        </w:rPr>
        <w:t xml:space="preserve"> </w:t>
      </w:r>
      <w:r w:rsidR="00F573E0" w:rsidRPr="00283334">
        <w:rPr>
          <w:rFonts w:eastAsia="Times New Roman"/>
          <w:sz w:val="22"/>
          <w:szCs w:val="22"/>
        </w:rPr>
        <w:t>(Supreme Court of the United States)</w:t>
      </w:r>
    </w:p>
    <w:bookmarkEnd w:id="0"/>
    <w:sectPr w:rsidR="00260360" w:rsidRPr="00006280" w:rsidSect="00006280">
      <w:footerReference w:type="even" r:id="rId7"/>
      <w:footerReference w:type="default" r:id="rId8"/>
      <w:pgSz w:w="12240" w:h="15840"/>
      <w:pgMar w:top="1440" w:right="1440" w:bottom="1440" w:left="1440" w:header="720" w:footer="48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83481" w14:textId="77777777" w:rsidR="00006280" w:rsidRDefault="00006280" w:rsidP="00006280">
      <w:r>
        <w:separator/>
      </w:r>
    </w:p>
  </w:endnote>
  <w:endnote w:type="continuationSeparator" w:id="0">
    <w:p w14:paraId="75DFEC65" w14:textId="77777777" w:rsidR="00006280" w:rsidRDefault="00006280" w:rsidP="0000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0B0D0" w14:textId="77777777" w:rsidR="00006280" w:rsidRDefault="00006280" w:rsidP="00067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7BFD48" w14:textId="77777777" w:rsidR="00006280" w:rsidRDefault="000062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85F66" w14:textId="77777777" w:rsidR="00006280" w:rsidRDefault="00006280" w:rsidP="00006280">
    <w:pPr>
      <w:pStyle w:val="Footer"/>
      <w:framePr w:wrap="around" w:vAnchor="text" w:hAnchor="margin" w:xAlign="center"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11A5A4" w14:textId="77777777" w:rsidR="00006280" w:rsidRDefault="00006280" w:rsidP="00006280">
    <w:pPr>
      <w:pStyle w:val="Footer"/>
      <w:jc w:val="center"/>
      <w:rPr>
        <w:sz w:val="18"/>
        <w:szCs w:val="18"/>
      </w:rPr>
    </w:pPr>
  </w:p>
  <w:p w14:paraId="031A2532" w14:textId="77777777" w:rsidR="00006280" w:rsidRPr="00692CFD" w:rsidRDefault="00006280" w:rsidP="00006280">
    <w:pPr>
      <w:pStyle w:val="Footer"/>
      <w:jc w:val="center"/>
      <w:rPr>
        <w:sz w:val="18"/>
        <w:szCs w:val="18"/>
      </w:rPr>
    </w:pPr>
    <w:r w:rsidRPr="00692CFD">
      <w:rPr>
        <w:sz w:val="18"/>
        <w:szCs w:val="18"/>
      </w:rPr>
      <w:t xml:space="preserve">Copyright ©2016 Pearson Education, Inc. </w:t>
    </w:r>
  </w:p>
  <w:p w14:paraId="25491BB3" w14:textId="77777777" w:rsidR="00006280" w:rsidRDefault="000062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57D40" w14:textId="77777777" w:rsidR="00006280" w:rsidRDefault="00006280" w:rsidP="00006280">
      <w:r>
        <w:separator/>
      </w:r>
    </w:p>
  </w:footnote>
  <w:footnote w:type="continuationSeparator" w:id="0">
    <w:p w14:paraId="15F984D2" w14:textId="77777777" w:rsidR="00006280" w:rsidRDefault="00006280" w:rsidP="00006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5F7F"/>
    <w:rsid w:val="00006280"/>
    <w:rsid w:val="000A7553"/>
    <w:rsid w:val="00192601"/>
    <w:rsid w:val="00260360"/>
    <w:rsid w:val="00283334"/>
    <w:rsid w:val="00402DA6"/>
    <w:rsid w:val="006074A0"/>
    <w:rsid w:val="00624D31"/>
    <w:rsid w:val="00630A31"/>
    <w:rsid w:val="00770ECC"/>
    <w:rsid w:val="007D3CA3"/>
    <w:rsid w:val="007E2718"/>
    <w:rsid w:val="007F4E3A"/>
    <w:rsid w:val="00832B0D"/>
    <w:rsid w:val="00860371"/>
    <w:rsid w:val="008743D2"/>
    <w:rsid w:val="00912A85"/>
    <w:rsid w:val="00937CAC"/>
    <w:rsid w:val="00AA630D"/>
    <w:rsid w:val="00AF666E"/>
    <w:rsid w:val="00C05F7F"/>
    <w:rsid w:val="00C84B70"/>
    <w:rsid w:val="00CC0CDD"/>
    <w:rsid w:val="00E05412"/>
    <w:rsid w:val="00E32FCD"/>
    <w:rsid w:val="00ED42C9"/>
    <w:rsid w:val="00F57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4A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60"/>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
    <w:name w:val="x"/>
    <w:uiPriority w:val="99"/>
    <w:rsid w:val="00260360"/>
    <w:rPr>
      <w:color w:val="000000"/>
      <w:w w:val="100"/>
    </w:rPr>
  </w:style>
  <w:style w:type="paragraph" w:styleId="Footer">
    <w:name w:val="footer"/>
    <w:basedOn w:val="Normal"/>
    <w:link w:val="FooterChar"/>
    <w:uiPriority w:val="99"/>
    <w:unhideWhenUsed/>
    <w:rsid w:val="00006280"/>
    <w:pPr>
      <w:tabs>
        <w:tab w:val="center" w:pos="4320"/>
        <w:tab w:val="right" w:pos="8640"/>
      </w:tabs>
    </w:pPr>
  </w:style>
  <w:style w:type="character" w:customStyle="1" w:styleId="FooterChar">
    <w:name w:val="Footer Char"/>
    <w:basedOn w:val="DefaultParagraphFont"/>
    <w:link w:val="Footer"/>
    <w:uiPriority w:val="99"/>
    <w:rsid w:val="00006280"/>
    <w:rPr>
      <w:rFonts w:ascii="Times New Roman" w:eastAsia="MS Mincho" w:hAnsi="Times New Roman" w:cs="Times New Roman"/>
      <w:sz w:val="24"/>
      <w:szCs w:val="24"/>
    </w:rPr>
  </w:style>
  <w:style w:type="character" w:styleId="PageNumber">
    <w:name w:val="page number"/>
    <w:basedOn w:val="DefaultParagraphFont"/>
    <w:uiPriority w:val="99"/>
    <w:semiHidden/>
    <w:unhideWhenUsed/>
    <w:rsid w:val="00006280"/>
  </w:style>
  <w:style w:type="paragraph" w:styleId="Header">
    <w:name w:val="header"/>
    <w:basedOn w:val="Normal"/>
    <w:link w:val="HeaderChar"/>
    <w:uiPriority w:val="99"/>
    <w:unhideWhenUsed/>
    <w:rsid w:val="00006280"/>
    <w:pPr>
      <w:tabs>
        <w:tab w:val="center" w:pos="4320"/>
        <w:tab w:val="right" w:pos="8640"/>
      </w:tabs>
    </w:pPr>
  </w:style>
  <w:style w:type="character" w:customStyle="1" w:styleId="HeaderChar">
    <w:name w:val="Header Char"/>
    <w:basedOn w:val="DefaultParagraphFont"/>
    <w:link w:val="Header"/>
    <w:uiPriority w:val="99"/>
    <w:rsid w:val="00006280"/>
    <w:rPr>
      <w:rFonts w:ascii="Times New Roman" w:eastAsia="MS Mincho"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546</Words>
  <Characters>3117</Characters>
  <Application>Microsoft Macintosh Word</Application>
  <DocSecurity>0</DocSecurity>
  <Lines>25</Lines>
  <Paragraphs>7</Paragraphs>
  <ScaleCrop>false</ScaleCrop>
  <Company>USC- Marshall School of Business</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CE</cp:lastModifiedBy>
  <cp:revision>17</cp:revision>
  <dcterms:created xsi:type="dcterms:W3CDTF">2014-04-26T23:22:00Z</dcterms:created>
  <dcterms:modified xsi:type="dcterms:W3CDTF">2014-12-28T20:17:00Z</dcterms:modified>
</cp:coreProperties>
</file>